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740" w:type="dxa"/>
        <w:jc w:val="center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62"/>
        <w:gridCol w:w="1559"/>
        <w:gridCol w:w="401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62" w:type="dxa"/>
            <w:vAlign w:val="center"/>
            <w:textDirection w:val="lrTb"/>
            <w:noWrap w:val="false"/>
          </w:tcPr>
          <w:p>
            <w:pPr>
              <w:pStyle w:val="101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101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Министерство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1017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промышленности и торговли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Удмуртской Республики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610" cy="732434"/>
                      <wp:effectExtent l="0" t="0" r="0" b="0"/>
                      <wp:docPr id="1" name="_x0000_i103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610" cy="7324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0.05pt;height:57.67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19" w:type="dxa"/>
            <w:vAlign w:val="center"/>
            <w:textDirection w:val="lrTb"/>
            <w:noWrap w:val="false"/>
          </w:tcPr>
          <w:p>
            <w:pPr>
              <w:pStyle w:val="101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101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Удмурт Элькунысь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10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промышленностья но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101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вузкаронъя министерство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1017"/>
        <w:ind w:right="-57"/>
        <w:jc w:val="center"/>
        <w:spacing w:before="120"/>
        <w:tabs>
          <w:tab w:val="left" w:pos="10440" w:leader="none"/>
        </w:tabs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Красная, 144, Ижевск, 426008</w: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pStyle w:val="1017"/>
        <w:ind w:right="-55"/>
        <w:jc w:val="center"/>
        <w:tabs>
          <w:tab w:val="left" w:pos="10440" w:leader="none"/>
        </w:tabs>
        <w:rPr>
          <w:color w:val="000000"/>
          <w:sz w:val="18"/>
          <w:szCs w:val="18"/>
          <w:lang w:val="en-US"/>
        </w:rPr>
      </w:pPr>
      <w:r>
        <w:rPr>
          <w:sz w:val="18"/>
          <w:szCs w:val="18"/>
        </w:rPr>
        <w:t xml:space="preserve">Тел</w:t>
      </w:r>
      <w:r>
        <w:rPr>
          <w:sz w:val="18"/>
          <w:szCs w:val="18"/>
          <w:lang w:val="en-US"/>
        </w:rPr>
        <w:t xml:space="preserve">.: (3412) </w:t>
      </w:r>
      <w:r>
        <w:rPr>
          <w:sz w:val="18"/>
          <w:szCs w:val="18"/>
          <w:lang w:val="en-US"/>
        </w:rPr>
        <w:t xml:space="preserve">222-688</w:t>
      </w:r>
      <w:r>
        <w:rPr>
          <w:sz w:val="18"/>
          <w:szCs w:val="18"/>
          <w:lang w:val="en-US"/>
        </w:rPr>
        <w:t xml:space="preserve">, </w:t>
      </w:r>
      <w:r>
        <w:rPr>
          <w:sz w:val="18"/>
          <w:szCs w:val="18"/>
          <w:lang w:val="en-US"/>
        </w:rPr>
        <w:t xml:space="preserve">e</w:t>
      </w:r>
      <w:r>
        <w:rPr>
          <w:color w:val="000000"/>
          <w:sz w:val="18"/>
          <w:szCs w:val="18"/>
          <w:lang w:val="en-US"/>
        </w:rPr>
        <w:t xml:space="preserve">-</w:t>
      </w:r>
      <w:r>
        <w:rPr>
          <w:color w:val="000000"/>
          <w:sz w:val="18"/>
          <w:szCs w:val="18"/>
          <w:lang w:val="en-US"/>
        </w:rPr>
        <w:t xml:space="preserve">mail</w:t>
      </w:r>
      <w:r>
        <w:rPr>
          <w:color w:val="000000"/>
          <w:sz w:val="18"/>
          <w:szCs w:val="18"/>
          <w:lang w:val="en-US"/>
        </w:rPr>
        <w:t xml:space="preserve">: </w:t>
      </w:r>
      <w:r>
        <w:rPr>
          <w:rFonts w:cs="MS Sans Serif"/>
          <w:color w:val="000000"/>
          <w:lang w:val="en-US"/>
        </w:rPr>
        <w:t xml:space="preserve">mail@mpt.udmr.ru</w:t>
      </w:r>
      <w:r>
        <w:rPr>
          <w:color w:val="000000"/>
          <w:sz w:val="18"/>
          <w:szCs w:val="18"/>
          <w:lang w:val="en-US"/>
        </w:rPr>
        <w:t xml:space="preserve">, </w:t>
      </w:r>
      <w:r>
        <w:rPr>
          <w:lang w:val="en-US"/>
        </w:rPr>
        <w:t xml:space="preserve">http://www.mintorg.udmurt.ru</w:t>
      </w:r>
      <w:r>
        <w:rPr>
          <w:color w:val="000000"/>
          <w:sz w:val="18"/>
          <w:szCs w:val="18"/>
          <w:lang w:val="en-US"/>
        </w:rPr>
      </w:r>
      <w:r>
        <w:rPr>
          <w:color w:val="000000"/>
          <w:sz w:val="18"/>
          <w:szCs w:val="18"/>
          <w:lang w:val="en-US"/>
        </w:rPr>
      </w:r>
    </w:p>
    <w:p>
      <w:pPr>
        <w:pStyle w:val="1017"/>
        <w:ind w:right="-55"/>
        <w:jc w:val="center"/>
        <w:tabs>
          <w:tab w:val="left" w:pos="1044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ОКПО 29993625 О</w:t>
      </w:r>
      <w:r>
        <w:rPr>
          <w:sz w:val="18"/>
          <w:szCs w:val="18"/>
        </w:rPr>
        <w:t xml:space="preserve">Г</w:t>
      </w:r>
      <w:r>
        <w:rPr>
          <w:sz w:val="18"/>
          <w:szCs w:val="18"/>
        </w:rPr>
        <w:t xml:space="preserve">РН 1151831000463 ИНН/КПП 1841048002/184101001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017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65405</wp:posOffset>
                </wp:positionV>
                <wp:extent cx="6821805" cy="0"/>
                <wp:effectExtent l="0" t="0" r="0" b="0"/>
                <wp:wrapNone/>
                <wp:docPr id="2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82180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-20.0pt,5.1pt" to="517.2pt,5.1pt" filled="f" strokecolor="#000000" strokeweight="0.99pt"/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ПРЕСС – РЕЛИЗ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68"/>
        <w:jc w:val="center"/>
        <w:spacing w:before="0" w:beforeAutospacing="0" w:after="0" w:afterAutospacing="0"/>
        <w:shd w:val="clear" w:color="auto" w:fill="ffffff"/>
        <w:rPr>
          <w:rStyle w:val="1069"/>
          <w:b/>
          <w:color w:val="000000"/>
          <w:sz w:val="28"/>
          <w:szCs w:val="28"/>
        </w:rPr>
      </w:pPr>
      <w:r>
        <w:rPr>
          <w:rStyle w:val="1069"/>
          <w:b/>
          <w:color w:val="000000"/>
          <w:sz w:val="28"/>
          <w:szCs w:val="28"/>
        </w:rPr>
        <w:t xml:space="preserve">И</w:t>
      </w:r>
      <w:r>
        <w:rPr>
          <w:rStyle w:val="1069"/>
          <w:b/>
          <w:color w:val="000000"/>
          <w:sz w:val="28"/>
          <w:szCs w:val="28"/>
        </w:rPr>
        <w:t xml:space="preserve">тоги </w:t>
      </w:r>
      <w:r>
        <w:rPr>
          <w:rStyle w:val="1069"/>
          <w:b/>
          <w:color w:val="000000"/>
          <w:sz w:val="28"/>
          <w:szCs w:val="28"/>
        </w:rPr>
        <w:t xml:space="preserve">работы промышленных предприятий Удмуртии</w:t>
      </w:r>
      <w:r>
        <w:rPr>
          <w:rStyle w:val="1069"/>
          <w:b/>
          <w:color w:val="000000"/>
          <w:sz w:val="28"/>
          <w:szCs w:val="28"/>
        </w:rPr>
      </w:r>
      <w:r>
        <w:rPr>
          <w:rStyle w:val="1069"/>
          <w:b/>
          <w:color w:val="000000"/>
          <w:sz w:val="28"/>
          <w:szCs w:val="28"/>
        </w:rPr>
      </w:r>
    </w:p>
    <w:p>
      <w:pPr>
        <w:pStyle w:val="1068"/>
        <w:jc w:val="center"/>
        <w:spacing w:before="0" w:beforeAutospacing="0" w:after="0" w:afterAutospacing="0"/>
        <w:shd w:val="clear" w:color="auto" w:fill="ffffff"/>
        <w:rPr>
          <w:rStyle w:val="1069"/>
          <w:b/>
          <w:color w:val="000000"/>
          <w:sz w:val="28"/>
          <w:szCs w:val="28"/>
        </w:rPr>
      </w:pPr>
      <w:r>
        <w:rPr>
          <w:rStyle w:val="1069"/>
          <w:b/>
          <w:color w:val="000000"/>
          <w:sz w:val="28"/>
          <w:szCs w:val="28"/>
        </w:rPr>
        <w:t xml:space="preserve">за</w:t>
      </w:r>
      <w:r>
        <w:rPr>
          <w:rStyle w:val="1069"/>
          <w:b/>
          <w:color w:val="000000"/>
          <w:sz w:val="28"/>
          <w:szCs w:val="28"/>
        </w:rPr>
        <w:t xml:space="preserve"> </w:t>
      </w:r>
      <w:r>
        <w:rPr>
          <w:rStyle w:val="1069"/>
          <w:b/>
          <w:color w:val="000000"/>
          <w:sz w:val="28"/>
          <w:szCs w:val="28"/>
        </w:rPr>
        <w:t xml:space="preserve">20</w:t>
      </w:r>
      <w:r>
        <w:rPr>
          <w:rStyle w:val="1069"/>
          <w:b/>
          <w:color w:val="000000"/>
          <w:sz w:val="28"/>
          <w:szCs w:val="28"/>
        </w:rPr>
        <w:t xml:space="preserve">2</w:t>
      </w:r>
      <w:r>
        <w:rPr>
          <w:rStyle w:val="1069"/>
          <w:b/>
          <w:color w:val="000000"/>
          <w:sz w:val="28"/>
          <w:szCs w:val="28"/>
        </w:rPr>
        <w:t xml:space="preserve">4</w:t>
      </w:r>
      <w:r>
        <w:rPr>
          <w:rStyle w:val="1069"/>
          <w:b/>
          <w:color w:val="000000"/>
          <w:sz w:val="28"/>
          <w:szCs w:val="28"/>
        </w:rPr>
        <w:t xml:space="preserve"> </w:t>
      </w:r>
      <w:r>
        <w:rPr>
          <w:rStyle w:val="1069"/>
          <w:b/>
          <w:color w:val="000000"/>
          <w:sz w:val="28"/>
          <w:szCs w:val="28"/>
        </w:rPr>
        <w:t xml:space="preserve">год</w:t>
      </w:r>
      <w:r>
        <w:rPr>
          <w:rStyle w:val="1069"/>
          <w:b/>
          <w:color w:val="000000"/>
          <w:sz w:val="28"/>
          <w:szCs w:val="28"/>
        </w:rPr>
      </w:r>
      <w:r>
        <w:rPr>
          <w:rStyle w:val="1069"/>
          <w:b/>
          <w:color w:val="000000"/>
          <w:sz w:val="28"/>
          <w:szCs w:val="28"/>
        </w:rPr>
      </w:r>
    </w:p>
    <w:p>
      <w:pPr>
        <w:pStyle w:val="1068"/>
        <w:jc w:val="center"/>
        <w:spacing w:before="0" w:beforeAutospacing="0" w:after="0" w:afterAutospacing="0"/>
        <w:shd w:val="clear" w:color="auto" w:fill="ffffff"/>
        <w:rPr>
          <w:b/>
          <w:color w:val="000000"/>
          <w:sz w:val="27"/>
          <w:szCs w:val="27"/>
          <w:highlight w:val="white"/>
        </w:rPr>
      </w:pPr>
      <w:r>
        <w:rPr>
          <w:b/>
          <w:color w:val="000000"/>
          <w:sz w:val="27"/>
          <w:szCs w:val="27"/>
          <w:highlight w:val="white"/>
        </w:rPr>
      </w:r>
      <w:r>
        <w:rPr>
          <w:b/>
          <w:color w:val="000000"/>
          <w:sz w:val="27"/>
          <w:szCs w:val="27"/>
          <w:highlight w:val="white"/>
        </w:rPr>
      </w:r>
      <w:r>
        <w:rPr>
          <w:b/>
          <w:color w:val="000000"/>
          <w:sz w:val="27"/>
          <w:szCs w:val="27"/>
          <w:highlight w:val="white"/>
        </w:rPr>
      </w:r>
    </w:p>
    <w:p>
      <w:pPr>
        <w:pStyle w:val="1017"/>
        <w:ind w:firstLine="709"/>
        <w:jc w:val="both"/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  <w:lang w:eastAsia="ru-RU"/>
        </w:rPr>
        <w:t xml:space="preserve">М</w:t>
      </w:r>
      <w:r>
        <w:rPr>
          <w:sz w:val="28"/>
          <w:szCs w:val="28"/>
          <w:highlight w:val="white"/>
          <w:lang w:eastAsia="ru-RU"/>
        </w:rPr>
        <w:t xml:space="preserve">ин</w:t>
      </w:r>
      <w:r>
        <w:rPr>
          <w:sz w:val="28"/>
          <w:szCs w:val="28"/>
          <w:highlight w:val="white"/>
          <w:lang w:eastAsia="ru-RU"/>
        </w:rPr>
        <w:t xml:space="preserve">истерством промышленности и торговли Удмуртской Республики подведены итоги работы промышленных предприятий Удмуртской Республики за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20</w:t>
      </w:r>
      <w:r>
        <w:rPr>
          <w:sz w:val="28"/>
          <w:szCs w:val="28"/>
          <w:highlight w:val="white"/>
          <w:lang w:eastAsia="ru-RU"/>
        </w:rPr>
        <w:t xml:space="preserve">2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год.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101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По данным Удмуртстата </w:t>
      </w:r>
      <w:r>
        <w:rPr>
          <w:sz w:val="28"/>
          <w:szCs w:val="28"/>
          <w:highlight w:val="white"/>
          <w:lang w:eastAsia="ru-RU"/>
        </w:rPr>
        <w:t xml:space="preserve">за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20</w:t>
      </w:r>
      <w:r>
        <w:rPr>
          <w:sz w:val="28"/>
          <w:szCs w:val="28"/>
          <w:highlight w:val="white"/>
          <w:lang w:eastAsia="ru-RU"/>
        </w:rPr>
        <w:t xml:space="preserve">2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 год предприятиями респуб</w:t>
      </w:r>
      <w:r>
        <w:rPr>
          <w:sz w:val="28"/>
          <w:szCs w:val="28"/>
          <w:highlight w:val="white"/>
          <w:lang w:eastAsia="ru-RU"/>
        </w:rPr>
        <w:t xml:space="preserve">лики отгружено товаров (работ, услуг) собственного производства на сумму</w:t>
      </w:r>
      <w:r>
        <w:rPr>
          <w:sz w:val="28"/>
          <w:szCs w:val="28"/>
          <w:highlight w:val="white"/>
          <w:lang w:eastAsia="ru-RU"/>
        </w:rPr>
        <w:t xml:space="preserve"> </w:t>
        <w:br/>
        <w:t xml:space="preserve">1,3 </w:t>
      </w:r>
      <w:r>
        <w:rPr>
          <w:sz w:val="28"/>
          <w:szCs w:val="28"/>
          <w:highlight w:val="white"/>
          <w:lang w:eastAsia="ru-RU"/>
        </w:rPr>
        <w:t xml:space="preserve">трлн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рублей</w:t>
      </w:r>
      <w:r>
        <w:rPr>
          <w:sz w:val="28"/>
          <w:szCs w:val="28"/>
          <w:highlight w:val="white"/>
          <w:lang w:eastAsia="ru-RU"/>
        </w:rPr>
        <w:t xml:space="preserve">, темп роста к аналогичному периоду прошлого года </w:t>
      </w:r>
      <w:r>
        <w:rPr>
          <w:sz w:val="28"/>
          <w:szCs w:val="28"/>
          <w:highlight w:val="white"/>
          <w:lang w:eastAsia="ru-RU"/>
        </w:rPr>
        <w:t xml:space="preserve">– 135,1</w:t>
      </w:r>
      <w:r>
        <w:rPr>
          <w:sz w:val="28"/>
          <w:szCs w:val="28"/>
          <w:highlight w:val="white"/>
          <w:lang w:eastAsia="ru-RU"/>
        </w:rPr>
        <w:t xml:space="preserve"> 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1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</w:t>
      </w:r>
      <w:r>
        <w:rPr>
          <w:sz w:val="28"/>
          <w:szCs w:val="28"/>
          <w:highlight w:val="white"/>
          <w:lang w:eastAsia="ru-RU"/>
        </w:rPr>
        <w:t xml:space="preserve">о итогам</w:t>
      </w:r>
      <w:r>
        <w:rPr>
          <w:sz w:val="28"/>
          <w:szCs w:val="28"/>
          <w:highlight w:val="white"/>
          <w:lang w:eastAsia="ru-RU"/>
        </w:rPr>
        <w:t xml:space="preserve"> 2024 года</w:t>
      </w:r>
      <w:r>
        <w:rPr>
          <w:sz w:val="28"/>
          <w:szCs w:val="28"/>
          <w:highlight w:val="white"/>
          <w:lang w:eastAsia="ru-RU"/>
        </w:rPr>
        <w:t xml:space="preserve"> Удмуртия по индексу промышленно</w:t>
      </w:r>
      <w:r>
        <w:rPr>
          <w:sz w:val="28"/>
          <w:szCs w:val="28"/>
          <w:highlight w:val="white"/>
          <w:lang w:eastAsia="ru-RU"/>
        </w:rPr>
        <w:t xml:space="preserve">г</w:t>
      </w:r>
      <w:r>
        <w:rPr>
          <w:sz w:val="28"/>
          <w:szCs w:val="28"/>
          <w:highlight w:val="white"/>
          <w:lang w:eastAsia="ru-RU"/>
        </w:rPr>
        <w:t xml:space="preserve">о производства (далее – ИПП) в целом по промышленности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вошла в ТОП-5 среди регионов ПФО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 110,9</w:t>
      </w:r>
      <w:r>
        <w:rPr>
          <w:sz w:val="28"/>
          <w:szCs w:val="28"/>
          <w:highlight w:val="white"/>
          <w:lang w:eastAsia="ru-RU"/>
        </w:rPr>
        <w:t xml:space="preserve"> %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 что выше ИПП Российской Федер</w:t>
      </w:r>
      <w:r>
        <w:rPr>
          <w:sz w:val="28"/>
          <w:szCs w:val="28"/>
          <w:highlight w:val="white"/>
          <w:lang w:eastAsia="ru-RU"/>
        </w:rPr>
        <w:t xml:space="preserve">аци</w:t>
      </w:r>
      <w:r>
        <w:rPr>
          <w:sz w:val="28"/>
          <w:szCs w:val="28"/>
          <w:highlight w:val="white"/>
          <w:lang w:eastAsia="ru-RU"/>
        </w:rPr>
        <w:t xml:space="preserve">и</w:t>
      </w:r>
      <w:r>
        <w:rPr>
          <w:sz w:val="28"/>
          <w:szCs w:val="28"/>
          <w:highlight w:val="white"/>
          <w:lang w:eastAsia="ru-RU"/>
        </w:rPr>
        <w:t xml:space="preserve"> (</w:t>
      </w:r>
      <w:r>
        <w:rPr>
          <w:sz w:val="28"/>
          <w:szCs w:val="28"/>
          <w:highlight w:val="white"/>
          <w:lang w:eastAsia="ru-RU"/>
        </w:rPr>
        <w:t xml:space="preserve">10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,6 </w:t>
      </w:r>
      <w:r>
        <w:rPr>
          <w:sz w:val="28"/>
          <w:szCs w:val="28"/>
          <w:highlight w:val="white"/>
          <w:lang w:eastAsia="ru-RU"/>
        </w:rPr>
        <w:t xml:space="preserve">%</w:t>
      </w:r>
      <w:r>
        <w:rPr>
          <w:sz w:val="28"/>
          <w:szCs w:val="28"/>
          <w:highlight w:val="white"/>
          <w:lang w:eastAsia="ru-RU"/>
        </w:rPr>
        <w:t xml:space="preserve">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1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Предприятиями отрасли «обрабатывающих производств» отгружено продукции на </w:t>
      </w:r>
      <w:r>
        <w:rPr>
          <w:sz w:val="28"/>
          <w:szCs w:val="28"/>
          <w:highlight w:val="white"/>
          <w:lang w:eastAsia="ru-RU"/>
        </w:rPr>
        <w:t xml:space="preserve">840,9 </w:t>
      </w:r>
      <w:r>
        <w:rPr>
          <w:sz w:val="28"/>
          <w:szCs w:val="28"/>
          <w:highlight w:val="white"/>
          <w:lang w:eastAsia="ru-RU"/>
        </w:rPr>
        <w:t xml:space="preserve">млрд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руб., </w:t>
      </w:r>
      <w:r>
        <w:rPr>
          <w:sz w:val="28"/>
          <w:szCs w:val="28"/>
          <w:highlight w:val="white"/>
          <w:lang w:eastAsia="ru-RU"/>
        </w:rPr>
        <w:t xml:space="preserve">темп роста к ана</w:t>
      </w:r>
      <w:r>
        <w:rPr>
          <w:sz w:val="28"/>
          <w:szCs w:val="28"/>
          <w:highlight w:val="white"/>
          <w:lang w:eastAsia="ru-RU"/>
        </w:rPr>
        <w:t xml:space="preserve">логичному периоду прошлого </w:t>
      </w:r>
      <w:r>
        <w:rPr>
          <w:sz w:val="28"/>
          <w:szCs w:val="28"/>
          <w:highlight w:val="white"/>
          <w:lang w:eastAsia="ru-RU"/>
        </w:rPr>
        <w:t xml:space="preserve">года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145,6</w:t>
      </w:r>
      <w:r>
        <w:rPr>
          <w:sz w:val="28"/>
          <w:szCs w:val="28"/>
          <w:highlight w:val="white"/>
          <w:lang w:eastAsia="ru-RU"/>
        </w:rPr>
        <w:t xml:space="preserve"> %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индексу промышленного производства</w:t>
      </w:r>
      <w:r>
        <w:rPr>
          <w:sz w:val="28"/>
          <w:szCs w:val="28"/>
          <w:highlight w:val="white"/>
          <w:lang w:eastAsia="ru-RU"/>
        </w:rPr>
        <w:t xml:space="preserve"> Удмуртия </w:t>
      </w:r>
      <w:r>
        <w:rPr>
          <w:sz w:val="28"/>
          <w:szCs w:val="28"/>
          <w:highlight w:val="white"/>
          <w:lang w:eastAsia="ru-RU"/>
        </w:rPr>
        <w:t xml:space="preserve">занимает </w:t>
      </w:r>
      <w:r>
        <w:rPr>
          <w:sz w:val="28"/>
          <w:szCs w:val="28"/>
          <w:highlight w:val="white"/>
          <w:lang w:eastAsia="ru-RU"/>
        </w:rPr>
        <w:t xml:space="preserve">1-е место по отрасли «обрабатывающих производств» среди регионов ПФО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 </w:t>
      </w:r>
      <w:r>
        <w:rPr>
          <w:sz w:val="28"/>
          <w:szCs w:val="28"/>
          <w:highlight w:val="white"/>
          <w:lang w:eastAsia="ru-RU"/>
        </w:rPr>
        <w:t xml:space="preserve">122,9 </w:t>
      </w:r>
      <w:r>
        <w:rPr>
          <w:sz w:val="28"/>
          <w:szCs w:val="28"/>
          <w:highlight w:val="white"/>
          <w:lang w:eastAsia="ru-RU"/>
        </w:rPr>
        <w:t xml:space="preserve">%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ИПП выше общероссийского на 14,4 </w:t>
      </w:r>
      <w:r>
        <w:rPr>
          <w:sz w:val="28"/>
          <w:szCs w:val="28"/>
          <w:highlight w:val="white"/>
          <w:lang w:eastAsia="ru-RU"/>
        </w:rPr>
        <w:t xml:space="preserve">процентный пункт</w:t>
      </w:r>
      <w:r>
        <w:rPr>
          <w:sz w:val="28"/>
          <w:szCs w:val="28"/>
          <w:highlight w:val="white"/>
          <w:lang w:eastAsia="ru-RU"/>
        </w:rPr>
        <w:t xml:space="preserve"> (РФ-</w:t>
      </w:r>
      <w:r>
        <w:rPr>
          <w:sz w:val="28"/>
          <w:szCs w:val="28"/>
          <w:highlight w:val="white"/>
          <w:lang w:eastAsia="ru-RU"/>
        </w:rPr>
        <w:t xml:space="preserve">1</w:t>
      </w:r>
      <w:r>
        <w:rPr>
          <w:sz w:val="28"/>
          <w:szCs w:val="28"/>
          <w:highlight w:val="white"/>
          <w:lang w:eastAsia="ru-RU"/>
        </w:rPr>
        <w:t xml:space="preserve">08</w:t>
      </w:r>
      <w:r>
        <w:rPr>
          <w:sz w:val="28"/>
          <w:szCs w:val="28"/>
          <w:highlight w:val="white"/>
          <w:lang w:eastAsia="ru-RU"/>
        </w:rPr>
        <w:t xml:space="preserve">,5 %)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Доля отрасли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  <w:lang w:eastAsia="ru-RU"/>
        </w:rPr>
        <w:t xml:space="preserve">обрабатывающие производства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 в общем</w:t>
      </w:r>
      <w:r>
        <w:rPr>
          <w:sz w:val="28"/>
          <w:szCs w:val="28"/>
          <w:highlight w:val="white"/>
          <w:lang w:eastAsia="ru-RU"/>
        </w:rPr>
        <w:t xml:space="preserve"> объеме пр</w:t>
      </w:r>
      <w:r>
        <w:rPr>
          <w:sz w:val="28"/>
          <w:szCs w:val="28"/>
          <w:highlight w:val="white"/>
          <w:lang w:eastAsia="ru-RU"/>
        </w:rPr>
        <w:t xml:space="preserve">оизводства состав</w:t>
      </w:r>
      <w:r>
        <w:rPr>
          <w:sz w:val="28"/>
          <w:szCs w:val="28"/>
          <w:highlight w:val="white"/>
          <w:lang w:eastAsia="ru-RU"/>
        </w:rPr>
        <w:t xml:space="preserve">ила </w:t>
      </w:r>
      <w:r>
        <w:rPr>
          <w:sz w:val="28"/>
          <w:szCs w:val="28"/>
          <w:highlight w:val="white"/>
          <w:lang w:eastAsia="ru-RU"/>
        </w:rPr>
        <w:t xml:space="preserve">62,5 </w:t>
      </w:r>
      <w:r>
        <w:rPr>
          <w:sz w:val="28"/>
          <w:szCs w:val="28"/>
          <w:highlight w:val="white"/>
          <w:lang w:eastAsia="ru-RU"/>
        </w:rPr>
        <w:t xml:space="preserve">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17"/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В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ысокий индекс производства при росте объемов отгруженных товаров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демонстрируют следующие отрасли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:</w:t>
      </w:r>
      <w:r>
        <w:rPr>
          <w:color w:val="000000"/>
          <w:sz w:val="28"/>
          <w:szCs w:val="28"/>
          <w:highlight w:val="white"/>
          <w:shd w:val="clear" w:color="auto" w:fill="ffffff"/>
        </w:rPr>
      </w:r>
      <w:r>
        <w:rPr>
          <w:color w:val="000000"/>
          <w:sz w:val="28"/>
          <w:szCs w:val="28"/>
          <w:highlight w:val="white"/>
          <w:shd w:val="clear" w:color="auto" w:fill="ffffff"/>
        </w:rPr>
      </w:r>
    </w:p>
    <w:p>
      <w:pPr>
        <w:pStyle w:val="860"/>
        <w:numPr>
          <w:ilvl w:val="0"/>
          <w:numId w:val="69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машин и оборудования, не включенных в другие группировки – 103,1 %;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60"/>
        <w:numPr>
          <w:ilvl w:val="0"/>
          <w:numId w:val="69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автотранспортных средств, прицепов и полуприцепов – в 2,2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раза;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60"/>
        <w:numPr>
          <w:ilvl w:val="0"/>
          <w:numId w:val="69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готовых металлических изделий – 135,5 %;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60"/>
        <w:numPr>
          <w:ilvl w:val="0"/>
          <w:numId w:val="69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оизводство компьютеров, электронных и оптических изделий – 131,1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60"/>
        <w:numPr>
          <w:ilvl w:val="0"/>
          <w:numId w:val="69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прочих транспортных средств и оборудования – в 4,3 раза.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firstLine="720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Помимо машиностроительного комплекса с положительными результатами закончили квартал такие отрасли как:</w:t>
      </w:r>
      <w:r>
        <w:rPr>
          <w:highlight w:val="white"/>
        </w:rPr>
      </w:r>
      <w:r>
        <w:rPr>
          <w:highlight w:val="white"/>
        </w:rPr>
      </w:r>
    </w:p>
    <w:p>
      <w:pPr>
        <w:pStyle w:val="86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одежды – 101,4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6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роизводство мебели – 102,8 %;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6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резиновых и пластмассовых изделий – 105,9 %;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6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дство бумаги и бумажных изделий – 101 %;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6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лекарственных средств и материалов, применяемых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медицинских целях – 131,3 %;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6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прочей неметаллической минерально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й продукции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101,5 %;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6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напитков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103,5 %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</w:p>
    <w:p>
      <w:pPr>
        <w:pStyle w:val="101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Основными предприятиями оказывающие значительное влияние на положительную динамику данных отраслей благодаря своим</w:t>
      </w:r>
      <w:r>
        <w:rPr>
          <w:sz w:val="28"/>
          <w:szCs w:val="28"/>
          <w:highlight w:val="white"/>
          <w:lang w:eastAsia="ru-RU"/>
        </w:rPr>
        <w:t xml:space="preserve"> высоким показателям по итогам </w:t>
      </w:r>
      <w:r>
        <w:rPr>
          <w:sz w:val="28"/>
          <w:szCs w:val="28"/>
          <w:highlight w:val="white"/>
          <w:lang w:eastAsia="ru-RU"/>
        </w:rPr>
        <w:t xml:space="preserve">2024 года</w:t>
      </w:r>
      <w:r>
        <w:rPr>
          <w:sz w:val="28"/>
          <w:szCs w:val="28"/>
          <w:highlight w:val="white"/>
          <w:lang w:eastAsia="ru-RU"/>
        </w:rPr>
        <w:t xml:space="preserve"> продемонстрировали следующие предприятия: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  <w:t xml:space="preserve">АО «ИЭМЗ «Купол»</w:t>
      </w:r>
      <w:r>
        <w:rPr>
          <w:sz w:val="28"/>
          <w:szCs w:val="28"/>
          <w:highlight w:val="white"/>
          <w:lang w:eastAsia="ru-RU"/>
        </w:rPr>
        <w:t xml:space="preserve">, </w:t>
      </w:r>
      <w:r>
        <w:rPr>
          <w:sz w:val="28"/>
          <w:szCs w:val="28"/>
          <w:highlight w:val="white"/>
          <w:lang w:eastAsia="ru-RU"/>
        </w:rPr>
        <w:t xml:space="preserve">АО «Воткинский завод», </w:t>
      </w:r>
      <w:r>
        <w:rPr>
          <w:sz w:val="28"/>
          <w:szCs w:val="28"/>
          <w:highlight w:val="white"/>
          <w:lang w:eastAsia="ru-RU"/>
        </w:rPr>
        <w:t xml:space="preserve">АО «Ижевский мотозавод «Аксион-Холдинг», </w:t>
      </w:r>
      <w:r>
        <w:rPr>
          <w:sz w:val="28"/>
          <w:szCs w:val="28"/>
          <w:highlight w:val="white"/>
          <w:lang w:eastAsia="ru-RU"/>
        </w:rPr>
        <w:t xml:space="preserve">АО «Концерн «Калашников», </w:t>
      </w:r>
      <w:r>
        <w:rPr>
          <w:sz w:val="28"/>
          <w:szCs w:val="28"/>
          <w:highlight w:val="white"/>
          <w:lang w:eastAsia="ru-RU"/>
        </w:rPr>
        <w:t xml:space="preserve">ПАО «Ижсталь», </w:t>
      </w:r>
      <w:r>
        <w:rPr>
          <w:sz w:val="28"/>
          <w:szCs w:val="28"/>
          <w:highlight w:val="white"/>
          <w:lang w:eastAsia="ru-RU"/>
        </w:rPr>
        <w:t xml:space="preserve">АО «ЧМЗ», </w:t>
      </w:r>
      <w:r>
        <w:rPr>
          <w:sz w:val="28"/>
          <w:szCs w:val="28"/>
          <w:highlight w:val="white"/>
          <w:lang w:eastAsia="ru-RU"/>
        </w:rPr>
        <w:t xml:space="preserve">группа предприятий «Увадрев-Холдинг», </w:t>
      </w:r>
      <w:r>
        <w:rPr>
          <w:sz w:val="28"/>
          <w:szCs w:val="28"/>
          <w:highlight w:val="white"/>
          <w:lang w:eastAsia="ru-RU"/>
        </w:rPr>
        <w:t xml:space="preserve">АО «СЭГЗ», </w:t>
      </w:r>
      <w:r>
        <w:rPr>
          <w:sz w:val="28"/>
          <w:szCs w:val="28"/>
          <w:highlight w:val="white"/>
          <w:lang w:eastAsia="ru-RU"/>
        </w:rPr>
        <w:br/>
        <w:t xml:space="preserve">АО «Ижевский механический завод», </w:t>
      </w:r>
      <w:r>
        <w:rPr>
          <w:sz w:val="28"/>
          <w:szCs w:val="28"/>
          <w:highlight w:val="white"/>
          <w:lang w:eastAsia="ru-RU"/>
        </w:rPr>
        <w:t xml:space="preserve">АО «Свет», </w:t>
      </w:r>
      <w:r>
        <w:rPr>
          <w:sz w:val="28"/>
          <w:szCs w:val="28"/>
          <w:highlight w:val="white"/>
          <w:lang w:eastAsia="ru-RU"/>
        </w:rPr>
        <w:t xml:space="preserve">АО «Сарапульский радиозавод», </w:t>
      </w:r>
      <w:r>
        <w:rPr>
          <w:sz w:val="28"/>
          <w:szCs w:val="28"/>
          <w:highlight w:val="white"/>
          <w:lang w:eastAsia="ru-RU"/>
        </w:rPr>
        <w:t xml:space="preserve">ООО «Глазов. Электрон», </w:t>
      </w:r>
      <w:r>
        <w:rPr>
          <w:sz w:val="28"/>
          <w:szCs w:val="28"/>
          <w:highlight w:val="white"/>
          <w:lang w:eastAsia="ru-RU"/>
        </w:rPr>
        <w:t xml:space="preserve">ООО «Ижевское предприятие «Спутник им. Исаенко Е.М.», </w:t>
      </w:r>
      <w:r>
        <w:rPr>
          <w:sz w:val="28"/>
          <w:szCs w:val="28"/>
          <w:highlight w:val="white"/>
          <w:lang w:eastAsia="ru-RU"/>
        </w:rPr>
        <w:t xml:space="preserve">АО «ИРЗ», </w:t>
      </w:r>
      <w:r>
        <w:rPr>
          <w:sz w:val="28"/>
          <w:szCs w:val="28"/>
          <w:highlight w:val="white"/>
          <w:lang w:eastAsia="ru-RU"/>
        </w:rPr>
        <w:t xml:space="preserve">ПАО «Ижнефтемаш»</w:t>
      </w:r>
      <w:r>
        <w:rPr>
          <w:sz w:val="28"/>
          <w:szCs w:val="28"/>
          <w:highlight w:val="white"/>
          <w:lang w:eastAsia="ru-RU"/>
        </w:rPr>
        <w:t xml:space="preserve">, </w:t>
      </w:r>
      <w:r>
        <w:rPr>
          <w:sz w:val="28"/>
          <w:szCs w:val="28"/>
          <w:highlight w:val="white"/>
          <w:lang w:eastAsia="ru-RU"/>
        </w:rPr>
        <w:br/>
      </w:r>
      <w:r>
        <w:rPr>
          <w:sz w:val="28"/>
          <w:szCs w:val="28"/>
          <w:highlight w:val="white"/>
          <w:lang w:eastAsia="ru-RU"/>
        </w:rPr>
        <w:t xml:space="preserve">АО «Ижевский завод пластмасс», </w:t>
      </w:r>
      <w:r>
        <w:rPr>
          <w:sz w:val="28"/>
          <w:szCs w:val="28"/>
          <w:highlight w:val="white"/>
          <w:lang w:eastAsia="ru-RU"/>
        </w:rPr>
        <w:t xml:space="preserve">ООО «Глазовская мебельная фабрика», </w:t>
      </w:r>
      <w:r>
        <w:rPr>
          <w:sz w:val="28"/>
          <w:szCs w:val="28"/>
          <w:highlight w:val="white"/>
          <w:lang w:eastAsia="ru-RU"/>
        </w:rPr>
        <w:br/>
        <w:t xml:space="preserve">АО МДНП «Красная звезда», </w:t>
      </w:r>
      <w:r>
        <w:rPr>
          <w:sz w:val="28"/>
          <w:szCs w:val="28"/>
          <w:highlight w:val="white"/>
          <w:lang w:eastAsia="ru-RU"/>
        </w:rPr>
        <w:t xml:space="preserve">АО «Глазовский завод «Металлист», </w:t>
      </w:r>
      <w:r>
        <w:rPr>
          <w:sz w:val="28"/>
          <w:szCs w:val="28"/>
          <w:highlight w:val="white"/>
          <w:lang w:eastAsia="ru-RU"/>
        </w:rPr>
        <w:br/>
        <w:t xml:space="preserve">АО «Можгинский лесокомбинат», </w:t>
      </w:r>
      <w:r>
        <w:rPr>
          <w:sz w:val="28"/>
          <w:szCs w:val="28"/>
          <w:highlight w:val="white"/>
          <w:lang w:eastAsia="ru-RU"/>
        </w:rPr>
        <w:t xml:space="preserve">ООО «Завод нефтегазового оборудования «Техновек», </w:t>
      </w:r>
      <w:r>
        <w:rPr>
          <w:sz w:val="28"/>
          <w:szCs w:val="28"/>
          <w:highlight w:val="white"/>
          <w:lang w:eastAsia="ru-RU"/>
        </w:rPr>
        <w:t xml:space="preserve">ООО «ЭТЗ «Вектор», </w:t>
      </w:r>
      <w:r>
        <w:rPr>
          <w:sz w:val="28"/>
          <w:szCs w:val="28"/>
          <w:highlight w:val="white"/>
          <w:lang w:eastAsia="ru-RU"/>
        </w:rPr>
        <w:t xml:space="preserve">АО «ИОМЗ», </w:t>
      </w:r>
      <w:r>
        <w:rPr>
          <w:sz w:val="28"/>
          <w:szCs w:val="28"/>
          <w:highlight w:val="white"/>
          <w:lang w:eastAsia="ru-RU"/>
        </w:rPr>
        <w:t xml:space="preserve">ОАО «НИТИ «Прогресс»,</w:t>
      </w:r>
      <w:r>
        <w:rPr>
          <w:sz w:val="28"/>
          <w:szCs w:val="28"/>
          <w:highlight w:val="white"/>
          <w:lang w:eastAsia="ru-RU"/>
        </w:rPr>
        <w:t xml:space="preserve"> </w:t>
        <w:br/>
      </w:r>
      <w:r>
        <w:rPr>
          <w:sz w:val="28"/>
          <w:szCs w:val="28"/>
          <w:highlight w:val="white"/>
          <w:lang w:eastAsia="ru-RU"/>
        </w:rPr>
        <w:t xml:space="preserve">АО «КБЭ ХХI века»</w:t>
      </w:r>
      <w:r>
        <w:rPr>
          <w:sz w:val="28"/>
          <w:szCs w:val="28"/>
          <w:highlight w:val="white"/>
          <w:lang w:eastAsia="ru-RU"/>
        </w:rPr>
        <w:t xml:space="preserve">, </w:t>
      </w:r>
      <w:r>
        <w:rPr>
          <w:sz w:val="28"/>
          <w:szCs w:val="28"/>
          <w:highlight w:val="white"/>
          <w:lang w:eastAsia="ru-RU"/>
        </w:rPr>
        <w:t xml:space="preserve">ООО «Энергоремонт», </w:t>
      </w:r>
      <w:r>
        <w:rPr>
          <w:sz w:val="28"/>
          <w:szCs w:val="28"/>
          <w:highlight w:val="white"/>
          <w:lang w:eastAsia="ru-RU"/>
        </w:rPr>
        <w:t xml:space="preserve">ООО «Орион», </w:t>
      </w:r>
      <w:r>
        <w:rPr>
          <w:sz w:val="28"/>
          <w:szCs w:val="28"/>
          <w:highlight w:val="white"/>
          <w:lang w:eastAsia="ru-RU"/>
        </w:rPr>
        <w:t xml:space="preserve">ЗАО «ИЗМФ «ФМС», </w:t>
      </w:r>
      <w:r>
        <w:rPr>
          <w:sz w:val="28"/>
          <w:szCs w:val="28"/>
          <w:highlight w:val="white"/>
          <w:lang w:eastAsia="ru-RU"/>
        </w:rPr>
        <w:t xml:space="preserve">ЗАО «РЕСТЕР», </w:t>
      </w:r>
      <w:r>
        <w:rPr>
          <w:sz w:val="28"/>
          <w:szCs w:val="28"/>
          <w:highlight w:val="white"/>
          <w:lang w:eastAsia="ru-RU"/>
        </w:rPr>
        <w:t xml:space="preserve">ООО «Новый дом»</w:t>
      </w:r>
      <w:r>
        <w:rPr>
          <w:sz w:val="28"/>
          <w:szCs w:val="28"/>
          <w:highlight w:val="white"/>
          <w:lang w:eastAsia="ru-RU"/>
        </w:rPr>
        <w:t xml:space="preserve">, </w:t>
      </w:r>
      <w:r>
        <w:rPr>
          <w:sz w:val="28"/>
          <w:szCs w:val="28"/>
          <w:highlight w:val="white"/>
          <w:lang w:eastAsia="ru-RU"/>
        </w:rPr>
        <w:t xml:space="preserve">ООО «ПО Камбарский машиностроительный завод», </w:t>
      </w:r>
      <w:r>
        <w:rPr>
          <w:sz w:val="28"/>
          <w:szCs w:val="28"/>
          <w:highlight w:val="white"/>
          <w:lang w:eastAsia="ru-RU"/>
        </w:rPr>
        <w:t xml:space="preserve">ООО «Ижевский завод кирпича и керамзита», </w:t>
      </w:r>
      <w:r>
        <w:rPr>
          <w:sz w:val="28"/>
          <w:szCs w:val="28"/>
          <w:highlight w:val="white"/>
          <w:lang w:eastAsia="ru-RU"/>
        </w:rPr>
        <w:t xml:space="preserve">ЗАО «Можхим», </w:t>
      </w:r>
      <w:r>
        <w:rPr>
          <w:sz w:val="28"/>
          <w:szCs w:val="28"/>
          <w:highlight w:val="white"/>
          <w:lang w:eastAsia="ru-RU"/>
        </w:rPr>
        <w:t xml:space="preserve">ООО «Завод железобетонных изделий».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0"/>
        <w:jc w:val="both"/>
        <w:rPr>
          <w:sz w:val="28"/>
          <w:szCs w:val="28"/>
          <w:highlight w:val="yellow"/>
          <w14:ligatures w14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yellow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  <w:lang w:eastAsia="ru-RU"/>
        </w:rPr>
        <w:t xml:space="preserve">До</w:t>
      </w:r>
      <w:r>
        <w:rPr>
          <w:sz w:val="28"/>
          <w:szCs w:val="28"/>
          <w:highlight w:val="white"/>
          <w:lang w:eastAsia="ru-RU"/>
        </w:rPr>
        <w:t xml:space="preserve">б</w:t>
      </w:r>
      <w:r>
        <w:rPr>
          <w:sz w:val="28"/>
          <w:szCs w:val="28"/>
          <w:highlight w:val="white"/>
          <w:lang w:eastAsia="ru-RU"/>
        </w:rPr>
        <w:t xml:space="preserve">ыча полезных ископаемых в общем объеме производства составила 32,8 </w:t>
      </w:r>
      <w:r>
        <w:rPr>
          <w:sz w:val="28"/>
          <w:szCs w:val="28"/>
          <w:highlight w:val="white"/>
          <w:lang w:eastAsia="ru-RU"/>
        </w:rPr>
        <w:t xml:space="preserve">%, объем отгруженных товаров отрасли составил 441 млрд. рублей, темп рост</w:t>
      </w:r>
      <w:r>
        <w:rPr>
          <w:sz w:val="28"/>
          <w:szCs w:val="28"/>
          <w:highlight w:val="white"/>
          <w:lang w:eastAsia="ru-RU"/>
        </w:rPr>
        <w:t xml:space="preserve">а к соответствующему периоду 2023 года – 123,8 %.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yellow"/>
          <w:lang w:eastAsia="ru-RU"/>
        </w:rPr>
      </w:r>
      <w:r>
        <w:rPr>
          <w:sz w:val="28"/>
          <w:szCs w:val="28"/>
          <w:highlight w:val="white"/>
          <w:lang w:eastAsia="ru-RU"/>
        </w:rPr>
        <w:t xml:space="preserve">Индекс промышленного производства (ИПП)</w:t>
      </w:r>
      <w:r>
        <w:rPr>
          <w:sz w:val="28"/>
          <w:szCs w:val="28"/>
          <w:highlight w:val="white"/>
          <w:lang w:eastAsia="ru-RU"/>
        </w:rPr>
        <w:t xml:space="preserve"> по добыче полезных ископаемых в Удмуртской Республике составил 97,5 %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По «Добыче полезных ископаемых» Удмуртская Республика на 6 месте в ПФО.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Рост госзакупок отечественных автомобилей в 2024 году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white"/>
        </w:rPr>
        <w:t xml:space="preserve">Г</w:t>
      </w:r>
      <w:r>
        <w:rPr>
          <w:color w:val="000000"/>
          <w:sz w:val="28"/>
          <w:szCs w:val="28"/>
          <w:highlight w:val="white"/>
        </w:rPr>
        <w:t xml:space="preserve">осударственные закупки легковых и легких коммерческих автомобилей (LCV) российской сборки в 2024 году продемонстрировали значительный рост. По данным поисково-аналитической системы «Тендерплан» количество тендеров увеличилось на 9%, а их денежный объем выр</w:t>
      </w:r>
      <w:r>
        <w:rPr>
          <w:color w:val="000000"/>
          <w:sz w:val="28"/>
          <w:szCs w:val="28"/>
          <w:highlight w:val="white"/>
        </w:rPr>
        <w:t xml:space="preserve">ос на 36%.</w:t>
      </w:r>
      <w:r>
        <w:rPr>
          <w:color w:val="000000"/>
          <w:sz w:val="28"/>
          <w:szCs w:val="28"/>
          <w:highlight w:val="whit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Лидерами по объему госзакупок в денежном выражении стали:</w:t>
      </w:r>
      <w:r>
        <w:rPr>
          <w:color w:val="000000"/>
          <w:sz w:val="28"/>
          <w:szCs w:val="28"/>
          <w:highlight w:val="white"/>
        </w:rPr>
      </w:r>
      <w:r/>
    </w:p>
    <w:p>
      <w:pPr>
        <w:ind w:left="0" w:right="0" w:firstLine="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«АвтоВАЗ» - в 2024 году было приобретено автомобилей марки Lada на сумму 10,1 млрд рублей, что на 25% больше по сравнению с предыдущим годом;</w:t>
      </w:r>
      <w:r>
        <w:rPr>
          <w:color w:val="000000"/>
          <w:sz w:val="28"/>
          <w:szCs w:val="28"/>
          <w:highlight w:val="white"/>
        </w:rPr>
      </w:r>
      <w:r/>
    </w:p>
    <w:p>
      <w:pPr>
        <w:ind w:left="0" w:right="0" w:firstLine="0"/>
        <w:jc w:val="both"/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УАЗ - объем закупок внедорожников составил 6,1 млрд рублей, что соответствует росту на 22% в годовом выражении;</w:t>
      </w:r>
      <w:r>
        <w:rPr>
          <w:color w:val="000000"/>
          <w:sz w:val="28"/>
          <w:szCs w:val="28"/>
          <w:highlight w:val="white"/>
        </w:rPr>
      </w:r>
      <w:r/>
    </w:p>
    <w:p>
      <w:pPr>
        <w:ind w:left="0" w:right="0" w:firstLine="0"/>
        <w:jc w:val="both"/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ГАЗ - легкие коммерческие автомобили группы ГАЗ, закупки которых составили 5,7 млрд рублей, что в 1,5 раза больше, чем в прошлом году.</w:t>
      </w:r>
      <w:r>
        <w:rPr>
          <w:color w:val="000000"/>
          <w:sz w:val="28"/>
          <w:szCs w:val="28"/>
          <w:highlight w:val="whit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Таким образом, 2024 год стал успешным для отечественного автопрома в контексте государственных закупок, что свидетельствует о растущем доверии к российским автомобилям и их конкурентоспособности на рынке.</w:t>
      </w:r>
      <w:r>
        <w:rPr>
          <w:color w:val="000000"/>
          <w:sz w:val="28"/>
          <w:szCs w:val="28"/>
          <w:highlight w:val="white"/>
        </w:rPr>
      </w:r>
      <w:r/>
    </w:p>
    <w:p>
      <w:pPr>
        <w:ind w:left="0" w:right="0" w:firstLine="0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ОАО «Торговый дом «Воткинский завод» новый лидер по производству высокотехнологичного нефтегазового оборудования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white"/>
        </w:rPr>
        <w:t xml:space="preserve">О</w:t>
      </w:r>
      <w:r>
        <w:rPr>
          <w:color w:val="000000"/>
          <w:sz w:val="28"/>
          <w:szCs w:val="28"/>
          <w:highlight w:val="white"/>
        </w:rPr>
        <w:t xml:space="preserve">АО «Торговый дом «Воткинский завод» занимается разработкой, внедрением и производством нефтегазового, нефтехимического и насосного оборудования, а также выполняет ремонт и модернизацию этого оборудования. С</w:t>
      </w:r>
      <w:r>
        <w:rPr>
          <w:color w:val="000000"/>
          <w:sz w:val="28"/>
          <w:szCs w:val="28"/>
          <w:highlight w:val="white"/>
        </w:rPr>
        <w:t xml:space="preserve">ейчас на многих месторождениях работают нефтяные насосы и другое оборудование производства «Торгового дома «Воткинский завод». В том числе его используют компании Сургутнефтегаз, ⁠Ноябрьскнефтегаз, Роснефть Уват, Удмуртнефть, Ба</w:t>
      </w:r>
      <w:r>
        <w:rPr>
          <w:color w:val="000000"/>
          <w:sz w:val="28"/>
          <w:szCs w:val="28"/>
          <w:highlight w:val="white"/>
        </w:rPr>
        <w:t xml:space="preserve">шнефть, Ванкор, ⁠Салым Петролеум, Татнефть, ⁠Няганьнефть.</w:t>
      </w:r>
      <w:r>
        <w:rPr>
          <w:color w:val="000000"/>
          <w:sz w:val="28"/>
          <w:szCs w:val="28"/>
          <w:highlight w:val="white"/>
        </w:rPr>
      </w:r>
      <w:r/>
    </w:p>
    <w:p>
      <w:pPr>
        <w:ind w:left="0" w:right="0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none"/>
        </w:rPr>
        <w:t xml:space="preserve">А</w:t>
      </w:r>
      <w:r>
        <w:rPr>
          <w:color w:val="000000"/>
          <w:sz w:val="28"/>
          <w:szCs w:val="28"/>
          <w:highlight w:val="white"/>
        </w:rPr>
        <w:t xml:space="preserve">ссортимент выпускаемой продукции этого направления довольно широк. Это оборудование для подземного и капитального ремонта скважин, насосы и насосные агрегаты для поддержания пластового давления, трубопроводная арматура, буровое и газовое оборуд</w:t>
      </w:r>
      <w:r>
        <w:rPr>
          <w:color w:val="000000"/>
          <w:sz w:val="28"/>
          <w:szCs w:val="28"/>
          <w:highlight w:val="white"/>
        </w:rPr>
        <w:t xml:space="preserve">ование.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Благодаря успешной работе в рамках программы импортозамещения, объем отгруженных товаров собственного производства за 2024 г. составил более 1 млрд руб.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none"/>
        </w:rPr>
        <w:t xml:space="preserve">Так же</w:t>
      </w:r>
      <w:r>
        <w:rPr>
          <w:color w:val="000000"/>
          <w:sz w:val="28"/>
          <w:szCs w:val="28"/>
          <w:highlight w:val="none"/>
        </w:rPr>
        <w:t xml:space="preserve"> п</w:t>
      </w:r>
      <w:r>
        <w:rPr>
          <w:color w:val="000000"/>
          <w:sz w:val="28"/>
          <w:szCs w:val="28"/>
          <w:highlight w:val="white"/>
        </w:rPr>
        <w:t xml:space="preserve">редприятие занимается производством мебели и детских товаров. При чем к производству товаров для детей специалисты подходят со всей ответственностью. Здесь играет рол</w:t>
      </w:r>
      <w:r>
        <w:rPr>
          <w:color w:val="000000"/>
          <w:sz w:val="28"/>
          <w:szCs w:val="28"/>
          <w:highlight w:val="white"/>
        </w:rPr>
        <w:t xml:space="preserve">ь не только качество и удобство, но и функциональность, что немаловажно для растущих организмов. </w:t>
      </w:r>
      <w:r>
        <w:rPr>
          <w:color w:val="000000"/>
          <w:sz w:val="28"/>
          <w:szCs w:val="28"/>
          <w:highlight w:val="white"/>
        </w:rPr>
        <w:t xml:space="preserve">Уникальная технология покрытия позволяет нанести любой рисунок, который обязательно понравится маленькой принцессе или принцу.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На этом «Воткинская промышленная компания» не останавливается. Уникальные тренажеры для реабилитации подходят как для детей-инвалидов, так и для восстановления раненых бойцов СВО. Каждый предмет разрабатывался с участием </w:t>
      </w:r>
      <w:r>
        <w:rPr>
          <w:color w:val="000000"/>
          <w:sz w:val="28"/>
          <w:szCs w:val="28"/>
          <w:highlight w:val="white"/>
        </w:rPr>
        <w:t xml:space="preserve">специалистов. Как и в другой продукции, здесь использовались только качественные материалы. Поэтому можно не сомневаться, что тренажеров хватит на долго.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В планах на этот год у ОАО «Торговый дом «Воткинский завод» и ОАО «Воткинская промышленная компания» наращивание текущего производства, запуск новых проектов и развитие рынка сбыта продукции.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В Оренбурге состоится ключевое событие нефтегазовой отрасли - XVIII специализированная выставка-форум «Газ. Нефть. Оренбуржье»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white"/>
        </w:rPr>
        <w:t xml:space="preserve">На выставочной экспозиции будут представлены лучшие практики применения и внедрения современных технологий. Свои передовые технологии продемонстрируют крупнейшие производители оборудования и услуг для нефтегазового сектора.</w:t>
      </w:r>
      <w:r>
        <w:rPr>
          <w:color w:val="000000"/>
          <w:sz w:val="28"/>
          <w:szCs w:val="28"/>
          <w:highlight w:val="whit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white"/>
        </w:rPr>
        <w:t xml:space="preserve">Делегатами мероприятия станут представители федеральных органов государственной власти, субъектов Российской Федерации, промышленных предприятий, образовательных и научно-исследовательских центров, технологические предприниматели.</w:t>
      </w:r>
      <w:r>
        <w:rPr>
          <w:color w:val="000000"/>
          <w:sz w:val="28"/>
          <w:szCs w:val="28"/>
          <w:highlight w:val="white"/>
        </w:rPr>
      </w:r>
      <w:r/>
    </w:p>
    <w:p>
      <w:pPr>
        <w:ind w:left="0" w:right="0" w:firstLine="0"/>
        <w:jc w:val="both"/>
      </w:pPr>
      <w:r>
        <w:rPr>
          <w:color w:val="000000"/>
          <w:sz w:val="28"/>
          <w:szCs w:val="28"/>
          <w:highlight w:val="white"/>
        </w:rPr>
        <w:t xml:space="preserve"> </w:t>
        <w:tab/>
      </w:r>
      <w:r>
        <w:rPr>
          <w:color w:val="000000"/>
          <w:sz w:val="28"/>
          <w:szCs w:val="28"/>
          <w:highlight w:val="white"/>
        </w:rPr>
        <w:t xml:space="preserve">В</w:t>
      </w:r>
      <w:r>
        <w:rPr>
          <w:color w:val="000000"/>
          <w:sz w:val="28"/>
          <w:szCs w:val="28"/>
          <w:highlight w:val="white"/>
        </w:rPr>
        <w:t xml:space="preserve"> рамках деловой программы Форума запланировано проведение отраслевых профильных секций, в том числе по вопросам развития нефтегазового комплекса и энергетики. Пройдут B2B переговоры и бизнес-встречи для руководителей предприятий, состоится визит зарубежных</w:t>
      </w:r>
      <w:r>
        <w:rPr>
          <w:color w:val="000000"/>
          <w:sz w:val="28"/>
          <w:szCs w:val="28"/>
          <w:highlight w:val="white"/>
        </w:rPr>
        <w:t xml:space="preserve"> делегаций дружественных стран.</w:t>
      </w:r>
      <w:r>
        <w:rPr>
          <w:color w:val="000000"/>
          <w:sz w:val="28"/>
          <w:szCs w:val="28"/>
          <w:highlight w:val="white"/>
        </w:rPr>
      </w:r>
      <w:r/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white"/>
        </w:rPr>
        <w:t xml:space="preserve">XVIII специализированная выставка-форум «Газ. Нефть. Оренбуржье» пройдет с 03 по 05 сентября 2025 года. Узнать подробную информацию и условия участия можно на сайте </w:t>
      </w:r>
      <w:hyperlink r:id="rId12" w:tooltip="https://orenburg-gazneft.ru/" w:history="1">
        <w:r>
          <w:rPr>
            <w:rStyle w:val="1036"/>
            <w:sz w:val="28"/>
            <w:szCs w:val="28"/>
            <w:highlight w:val="white"/>
          </w:rPr>
          <w:t xml:space="preserve">https://orenburg-gazneft.ru/</w:t>
        </w:r>
      </w:hyperlink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Эксперты продолжают поддерживать участников федпроекта «Производительность труда», реализуемого в рамках нацпроекта «Эффективная и конкурентная экономика».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Предприятия-участники проекта пользуются консультационными услугами и продолжают обучаться на тренировочных площадках Регионального центра компетенций в сфере производительности труда.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ООО «ГерберАгро» на этапе тиражирования улучшает процесс сделки закупки. Благодаря накопленному и умело примененному опыту уже наблюдается ускорение сделок и это лишь начало пути к повышению стандартов обслуживания.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П</w:t>
      </w:r>
      <w:r>
        <w:rPr>
          <w:color w:val="000000"/>
          <w:sz w:val="28"/>
          <w:szCs w:val="28"/>
          <w:highlight w:val="white"/>
        </w:rPr>
        <w:t xml:space="preserve">редприятие «Донвард-ГС» изучает и внедряет новые подходы, которые откроют перед ним ещё больше возможностей. Так, семь менеджеров компании прошли стажировку в Москве, где изучили инструменты для трансформации корпоративной культуры и увеличения прибыли в у</w:t>
      </w:r>
      <w:r>
        <w:rPr>
          <w:color w:val="000000"/>
          <w:sz w:val="28"/>
          <w:szCs w:val="28"/>
          <w:highlight w:val="white"/>
        </w:rPr>
        <w:t xml:space="preserve">словиях дефицита кадров. Особое внимание уделили мотивации персонала и влиянию вовлеченности на результативность. 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Г</w:t>
      </w:r>
      <w:r>
        <w:rPr>
          <w:color w:val="000000"/>
          <w:sz w:val="28"/>
          <w:szCs w:val="28"/>
          <w:highlight w:val="white"/>
        </w:rPr>
        <w:t xml:space="preserve">лазовская Мебельная Фабрика активно внедряет инструменты бережливого производства и рассматривает создание отдела рационализаторов. Ещё фабрика осуществила масштабное обновление станкопарка. Новое оборудование компенсирует нехватку кадров, теперь с увеличе</w:t>
      </w:r>
      <w:r>
        <w:rPr>
          <w:color w:val="000000"/>
          <w:sz w:val="28"/>
          <w:szCs w:val="28"/>
          <w:highlight w:val="white"/>
        </w:rPr>
        <w:t xml:space="preserve">нными объемами справится и прежний состав сотрудников. Это обновление положительно скажется на качестве выпускаемой продукции, снизит трудозатраты и позволит фабрике оставаться на шаг впереди конкурентов.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b/>
          <w:bCs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Р</w:t>
      </w:r>
      <w:r>
        <w:rPr>
          <w:color w:val="000000"/>
          <w:sz w:val="28"/>
          <w:szCs w:val="28"/>
          <w:highlight w:val="white"/>
        </w:rPr>
        <w:t xml:space="preserve">уководству завода «РЕММАШ», благодаря обучению бережливому управлению и грамотному распределению ресурсов, удалось в 2024 году увеличить заработную плату сотрудников на 25%. В 2025 году предприятие планирует обновить парк рабочей техники и улучшить показат</w:t>
      </w:r>
      <w:r>
        <w:rPr>
          <w:color w:val="000000"/>
          <w:sz w:val="28"/>
          <w:szCs w:val="28"/>
          <w:highlight w:val="white"/>
        </w:rPr>
        <w:t xml:space="preserve">ели производительности труда.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Новые логистические возможности открывает Индустриальный парк «Ижевский завод»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О</w:t>
      </w:r>
      <w:r>
        <w:rPr>
          <w:color w:val="000000"/>
          <w:sz w:val="28"/>
          <w:szCs w:val="28"/>
          <w:highlight w:val="none"/>
        </w:rPr>
        <w:t xml:space="preserve">ОО «Индустриальный парк «РАЗВИТИЕ» организовало Парк «Ижевский завод» в 2017 году. В настоящий момент его общая площадь составляет 13,89 га, на территории парка расположен 31 резидент в 7 корпусах. Одно из важных направлений парка – логистическое. Сейчас в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логистическом центре расположены 7 логистических компаний. Для каждого резидента созданы все условия – размеры помещений, высота потолков и даже приобретена необходимая техника. Например, для компании ООО «Алиди-норд» было установлено специальное холодильн</w:t>
      </w:r>
      <w:r>
        <w:rPr>
          <w:color w:val="000000"/>
          <w:sz w:val="28"/>
          <w:szCs w:val="28"/>
          <w:highlight w:val="none"/>
        </w:rPr>
        <w:t xml:space="preserve">ое оборудование.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У</w:t>
      </w:r>
      <w:r>
        <w:rPr>
          <w:color w:val="000000"/>
          <w:sz w:val="28"/>
          <w:szCs w:val="28"/>
          <w:highlight w:val="none"/>
        </w:rPr>
        <w:t xml:space="preserve">добное расположение парка открывает большие возможности для распределения продукции по торговым точкам, регионам и даже странам. А это важный фактор в ситуации, в которой оказались многие компании - потери старых логистических путей и поиска новых. Сейчас </w:t>
      </w:r>
      <w:r>
        <w:rPr>
          <w:color w:val="000000"/>
          <w:sz w:val="28"/>
          <w:szCs w:val="28"/>
          <w:highlight w:val="none"/>
        </w:rPr>
        <w:t xml:space="preserve">завершается строительство нового корпуса площадью около 17 тыс кв.м. Его планируют открыть уже в этом году.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В век дефицита площадей и вектора импортоопережения, в Удмуртии реализуется проект по строительству ещё одного парка.</w:t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П</w:t>
      </w:r>
      <w:r>
        <w:rPr>
          <w:color w:val="000000"/>
          <w:sz w:val="28"/>
          <w:szCs w:val="28"/>
          <w:highlight w:val="none"/>
        </w:rPr>
        <w:t xml:space="preserve">ромышленный парк «Энергия» еще только готовится к приему первых резидентов. На сегодняшний день здесь завершены работы по подготовке территории, построен первый ангар для производственных и складских предприятий. Подготовлены коммуникации для подключения к</w:t>
      </w:r>
      <w:r>
        <w:rPr>
          <w:color w:val="000000"/>
          <w:sz w:val="28"/>
          <w:szCs w:val="28"/>
          <w:highlight w:val="none"/>
        </w:rPr>
        <w:t xml:space="preserve"> газовой сети. Идёт выбор подрядчика высокоскоростного интернета на всей территории.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b/>
          <w:bCs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Впоследствии новый промышленный парк может превратиться в центр притяжения для бизнеса и инвестиций. Созданная инфраструктура способна стать основой для успешного функционирования предприятий и привлечения новых резидентов.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</w:pPr>
      <w:r>
        <w:rPr>
          <w:b/>
          <w:bCs/>
          <w:color w:val="000000"/>
          <w:sz w:val="28"/>
          <w:szCs w:val="28"/>
          <w:highlight w:val="none"/>
        </w:rPr>
        <w:t xml:space="preserve">АО «Ижевский электромеханический завод «Купол» стал лауреатом всероссийского конкурса лучших практик трудоустройства молодежи в 2024 году</w:t>
      </w:r>
      <w:r>
        <w:rPr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  <w:rPr>
          <w:b w:val="0"/>
          <w:bCs w:val="0"/>
        </w:rPr>
      </w:pPr>
      <w:r>
        <w:rPr>
          <w:b w:val="0"/>
          <w:bCs w:val="0"/>
          <w:color w:val="000000"/>
          <w:sz w:val="28"/>
          <w:szCs w:val="28"/>
          <w:highlight w:val="none"/>
        </w:rPr>
        <w:t xml:space="preserve">С практикой «Школа кадрового резерва «АО «ИЭМЗ «Купол». Обучение и развитие» предприятие заняло 3 место в номинации «Адаптация, сопровождение и построение карьерной траектории молодого специалиста, в том числе в рамках наставничества».</w:t>
      </w: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</w:rPr>
      </w:r>
    </w:p>
    <w:p>
      <w:pPr>
        <w:ind w:left="0" w:right="0" w:firstLine="720"/>
        <w:jc w:val="both"/>
        <w:rPr>
          <w:b w:val="0"/>
          <w:bCs w:val="0"/>
          <w:color w:val="000000"/>
          <w:sz w:val="28"/>
          <w:szCs w:val="28"/>
          <w:highlight w:val="none"/>
        </w:rPr>
      </w:pPr>
      <w:r>
        <w:rPr>
          <w:b w:val="0"/>
          <w:bCs w:val="0"/>
          <w:color w:val="000000"/>
          <w:sz w:val="28"/>
          <w:szCs w:val="28"/>
          <w:highlight w:val="none"/>
        </w:rPr>
        <w:t xml:space="preserve">Всего на конкурс было подано 780 заявок от организаций со всей страны, из которых было отобрано и оценено членами экспертного совета 699 заявок. По итогам финального этапа Конкурса победителями определены 79 организаций.</w:t>
      </w: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</w:p>
    <w:sectPr>
      <w:footerReference w:type="even" r:id="rId9"/>
      <w:footerReference w:type="first" r:id="rId10"/>
      <w:footnotePr>
        <w:pos w:val="beneathText"/>
      </w:footnotePr>
      <w:endnotePr/>
      <w:type w:val="nextPage"/>
      <w:pgSz w:w="11905" w:h="16837" w:orient="portrait"/>
      <w:pgMar w:top="567" w:right="709" w:bottom="851" w:left="1701" w:header="425" w:footer="15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2000603000000000000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Lucida Sans Unicode">
    <w:panose1 w:val="020B0603030804020204"/>
  </w:font>
  <w:font w:name="Tahoma">
    <w:panose1 w:val="020B0604030504040204"/>
  </w:font>
  <w:font w:name="Calibri">
    <w:panose1 w:val="020F0502020204030204"/>
  </w:font>
  <w:font w:name="Cambria">
    <w:panose1 w:val="020408030504060302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4"/>
      <w:rPr>
        <w:rStyle w:val="1062"/>
      </w:rPr>
      <w:framePr w:wrap="around" w:vAnchor="text" w:hAnchor="margin" w:xAlign="right" w:y="1"/>
    </w:pPr>
    <w:r>
      <w:rPr>
        <w:rStyle w:val="1062"/>
      </w:rPr>
      <w:fldChar w:fldCharType="begin"/>
    </w:r>
    <w:r>
      <w:rPr>
        <w:rStyle w:val="1062"/>
      </w:rPr>
      <w:instrText xml:space="preserve">PAGE  </w:instrText>
    </w:r>
    <w:r>
      <w:rPr>
        <w:rStyle w:val="1062"/>
      </w:rPr>
      <w:fldChar w:fldCharType="separate"/>
    </w:r>
    <w:r>
      <w:rPr>
        <w:rStyle w:val="1062"/>
      </w:rPr>
      <w:t xml:space="preserve">5</w:t>
    </w:r>
    <w:r>
      <w:rPr>
        <w:rStyle w:val="1062"/>
      </w:rPr>
      <w:fldChar w:fldCharType="end"/>
    </w:r>
    <w:r>
      <w:rPr>
        <w:rStyle w:val="1062"/>
      </w:rPr>
    </w:r>
    <w:r>
      <w:rPr>
        <w:rStyle w:val="1062"/>
      </w:rPr>
    </w:r>
  </w:p>
  <w:p>
    <w:pPr>
      <w:pStyle w:val="105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7"/>
      <w:rPr>
        <w:vanish/>
        <w:color w:val="0000ff"/>
        <w:sz w:val="18"/>
        <w:szCs w:val="18"/>
      </w:rPr>
    </w:pPr>
    <w:r>
      <w:rPr>
        <w:vanish/>
        <w:color w:val="0000ff"/>
        <w:sz w:val="18"/>
        <w:szCs w:val="18"/>
      </w:rPr>
      <w:t xml:space="preserve">Ю.О. Емельянов</w:t>
    </w:r>
    <w:r>
      <w:rPr>
        <w:vanish/>
        <w:color w:val="0000ff"/>
        <w:sz w:val="18"/>
        <w:szCs w:val="18"/>
      </w:rPr>
    </w:r>
    <w:r>
      <w:rPr>
        <w:vanish/>
        <w:color w:val="0000ff"/>
        <w:sz w:val="18"/>
        <w:szCs w:val="18"/>
      </w:rPr>
    </w:r>
  </w:p>
  <w:p>
    <w:pPr>
      <w:pStyle w:val="1017"/>
      <w:rPr>
        <w:vanish/>
        <w:color w:val="0000ff"/>
        <w:sz w:val="18"/>
        <w:szCs w:val="18"/>
      </w:rPr>
    </w:pPr>
    <w:r>
      <w:rPr>
        <w:vanish/>
        <w:color w:val="0000ff"/>
        <w:sz w:val="18"/>
        <w:szCs w:val="18"/>
      </w:rPr>
      <w:t xml:space="preserve">т. (3412)-495-300, ф. 495-639</w:t>
    </w:r>
    <w:r>
      <w:rPr>
        <w:vanish/>
        <w:color w:val="0000ff"/>
        <w:sz w:val="18"/>
        <w:szCs w:val="18"/>
      </w:rPr>
    </w:r>
    <w:r>
      <w:rPr>
        <w:vanish/>
        <w:color w:val="0000ff"/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4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6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2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60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4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6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2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60" w:hanging="360"/>
      </w:pPr>
      <w:rPr>
        <w:rFonts w:hint="default" w:ascii="Wingdings" w:hAnsi="Wingdings" w:eastAsia="Wingdings" w:cs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1"/>
  </w:num>
  <w:num w:numId="2">
    <w:abstractNumId w:val="18"/>
  </w:num>
  <w:num w:numId="3">
    <w:abstractNumId w:val="1"/>
  </w:num>
  <w:num w:numId="4">
    <w:abstractNumId w:val="12"/>
  </w:num>
  <w:num w:numId="5">
    <w:abstractNumId w:val="4"/>
  </w:num>
  <w:num w:numId="6">
    <w:abstractNumId w:val="22"/>
  </w:num>
  <w:num w:numId="7">
    <w:abstractNumId w:val="24"/>
  </w:num>
  <w:num w:numId="8">
    <w:abstractNumId w:val="9"/>
  </w:num>
  <w:num w:numId="9">
    <w:abstractNumId w:val="29"/>
  </w:num>
  <w:num w:numId="10">
    <w:abstractNumId w:val="0"/>
  </w:num>
  <w:num w:numId="11">
    <w:abstractNumId w:val="28"/>
  </w:num>
  <w:num w:numId="12">
    <w:abstractNumId w:val="21"/>
  </w:num>
  <w:num w:numId="13">
    <w:abstractNumId w:val="19"/>
  </w:num>
  <w:num w:numId="14">
    <w:abstractNumId w:val="20"/>
  </w:num>
  <w:num w:numId="15">
    <w:abstractNumId w:val="5"/>
  </w:num>
  <w:num w:numId="16">
    <w:abstractNumId w:val="15"/>
  </w:num>
  <w:num w:numId="17">
    <w:abstractNumId w:val="3"/>
  </w:num>
  <w:num w:numId="18">
    <w:abstractNumId w:val="11"/>
  </w:num>
  <w:num w:numId="19">
    <w:abstractNumId w:val="16"/>
  </w:num>
  <w:num w:numId="20">
    <w:abstractNumId w:val="33"/>
  </w:num>
  <w:num w:numId="21">
    <w:abstractNumId w:val="25"/>
  </w:num>
  <w:num w:numId="22">
    <w:abstractNumId w:val="30"/>
  </w:num>
  <w:num w:numId="23">
    <w:abstractNumId w:val="26"/>
  </w:num>
  <w:num w:numId="24">
    <w:abstractNumId w:val="17"/>
  </w:num>
  <w:num w:numId="25">
    <w:abstractNumId w:val="32"/>
  </w:num>
  <w:num w:numId="26">
    <w:abstractNumId w:val="8"/>
  </w:num>
  <w:num w:numId="27">
    <w:abstractNumId w:val="14"/>
  </w:num>
  <w:num w:numId="28">
    <w:abstractNumId w:val="2"/>
  </w:num>
  <w:num w:numId="29">
    <w:abstractNumId w:val="7"/>
  </w:num>
  <w:num w:numId="30">
    <w:abstractNumId w:val="13"/>
  </w:num>
  <w:num w:numId="31">
    <w:abstractNumId w:val="10"/>
  </w:num>
  <w:num w:numId="32">
    <w:abstractNumId w:val="35"/>
  </w:num>
  <w:num w:numId="33">
    <w:abstractNumId w:val="6"/>
  </w:num>
  <w:num w:numId="34">
    <w:abstractNumId w:val="23"/>
  </w:num>
  <w:num w:numId="35">
    <w:abstractNumId w:val="34"/>
  </w:num>
  <w:num w:numId="36">
    <w:abstractNumId w:val="27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2">
    <w:name w:val="Heading 1"/>
    <w:basedOn w:val="1017"/>
    <w:next w:val="1017"/>
    <w:link w:val="8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43">
    <w:name w:val="Heading 1 Char"/>
    <w:link w:val="842"/>
    <w:uiPriority w:val="9"/>
    <w:rPr>
      <w:rFonts w:ascii="Arial" w:hAnsi="Arial" w:eastAsia="Arial" w:cs="Arial"/>
      <w:sz w:val="40"/>
      <w:szCs w:val="40"/>
    </w:rPr>
  </w:style>
  <w:style w:type="paragraph" w:styleId="844">
    <w:name w:val="Heading 2"/>
    <w:basedOn w:val="1017"/>
    <w:next w:val="1017"/>
    <w:link w:val="8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45">
    <w:name w:val="Heading 2 Char"/>
    <w:link w:val="844"/>
    <w:uiPriority w:val="9"/>
    <w:rPr>
      <w:rFonts w:ascii="Arial" w:hAnsi="Arial" w:eastAsia="Arial" w:cs="Arial"/>
      <w:sz w:val="34"/>
    </w:rPr>
  </w:style>
  <w:style w:type="paragraph" w:styleId="846">
    <w:name w:val="Heading 3"/>
    <w:basedOn w:val="1017"/>
    <w:next w:val="1017"/>
    <w:link w:val="8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47">
    <w:name w:val="Heading 3 Char"/>
    <w:link w:val="846"/>
    <w:uiPriority w:val="9"/>
    <w:rPr>
      <w:rFonts w:ascii="Arial" w:hAnsi="Arial" w:eastAsia="Arial" w:cs="Arial"/>
      <w:sz w:val="30"/>
      <w:szCs w:val="30"/>
    </w:rPr>
  </w:style>
  <w:style w:type="paragraph" w:styleId="848">
    <w:name w:val="Heading 4"/>
    <w:basedOn w:val="1017"/>
    <w:next w:val="1017"/>
    <w:link w:val="8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9">
    <w:name w:val="Heading 4 Char"/>
    <w:link w:val="848"/>
    <w:uiPriority w:val="9"/>
    <w:rPr>
      <w:rFonts w:ascii="Arial" w:hAnsi="Arial" w:eastAsia="Arial" w:cs="Arial"/>
      <w:b/>
      <w:bCs/>
      <w:sz w:val="26"/>
      <w:szCs w:val="26"/>
    </w:rPr>
  </w:style>
  <w:style w:type="paragraph" w:styleId="850">
    <w:name w:val="Heading 5"/>
    <w:basedOn w:val="1017"/>
    <w:next w:val="1017"/>
    <w:link w:val="8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1">
    <w:name w:val="Heading 5 Char"/>
    <w:link w:val="850"/>
    <w:uiPriority w:val="9"/>
    <w:rPr>
      <w:rFonts w:ascii="Arial" w:hAnsi="Arial" w:eastAsia="Arial" w:cs="Arial"/>
      <w:b/>
      <w:bCs/>
      <w:sz w:val="24"/>
      <w:szCs w:val="24"/>
    </w:rPr>
  </w:style>
  <w:style w:type="paragraph" w:styleId="852">
    <w:name w:val="Heading 6"/>
    <w:basedOn w:val="1017"/>
    <w:next w:val="1017"/>
    <w:link w:val="8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3">
    <w:name w:val="Heading 6 Char"/>
    <w:link w:val="852"/>
    <w:uiPriority w:val="9"/>
    <w:rPr>
      <w:rFonts w:ascii="Arial" w:hAnsi="Arial" w:eastAsia="Arial" w:cs="Arial"/>
      <w:b/>
      <w:bCs/>
      <w:sz w:val="22"/>
      <w:szCs w:val="22"/>
    </w:rPr>
  </w:style>
  <w:style w:type="paragraph" w:styleId="854">
    <w:name w:val="Heading 7"/>
    <w:basedOn w:val="1017"/>
    <w:next w:val="1017"/>
    <w:link w:val="8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5">
    <w:name w:val="Heading 7 Char"/>
    <w:link w:val="8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6">
    <w:name w:val="Heading 8"/>
    <w:basedOn w:val="1017"/>
    <w:next w:val="1017"/>
    <w:link w:val="8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7">
    <w:name w:val="Heading 8 Char"/>
    <w:link w:val="856"/>
    <w:uiPriority w:val="9"/>
    <w:rPr>
      <w:rFonts w:ascii="Arial" w:hAnsi="Arial" w:eastAsia="Arial" w:cs="Arial"/>
      <w:i/>
      <w:iCs/>
      <w:sz w:val="22"/>
      <w:szCs w:val="22"/>
    </w:rPr>
  </w:style>
  <w:style w:type="paragraph" w:styleId="858">
    <w:name w:val="Heading 9"/>
    <w:basedOn w:val="1017"/>
    <w:next w:val="1017"/>
    <w:link w:val="8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9">
    <w:name w:val="Heading 9 Char"/>
    <w:link w:val="858"/>
    <w:uiPriority w:val="9"/>
    <w:rPr>
      <w:rFonts w:ascii="Arial" w:hAnsi="Arial" w:eastAsia="Arial" w:cs="Arial"/>
      <w:i/>
      <w:iCs/>
      <w:sz w:val="21"/>
      <w:szCs w:val="21"/>
    </w:rPr>
  </w:style>
  <w:style w:type="paragraph" w:styleId="860">
    <w:name w:val="List Paragraph"/>
    <w:basedOn w:val="1017"/>
    <w:uiPriority w:val="34"/>
    <w:qFormat/>
    <w:pPr>
      <w:contextualSpacing/>
      <w:ind w:left="720"/>
    </w:pPr>
  </w:style>
  <w:style w:type="paragraph" w:styleId="861">
    <w:name w:val="No Spacing"/>
    <w:uiPriority w:val="1"/>
    <w:qFormat/>
    <w:pPr>
      <w:spacing w:before="0" w:after="0" w:line="240" w:lineRule="auto"/>
    </w:pPr>
  </w:style>
  <w:style w:type="character" w:styleId="862">
    <w:name w:val="Title Char"/>
    <w:link w:val="1091"/>
    <w:uiPriority w:val="10"/>
    <w:rPr>
      <w:sz w:val="48"/>
      <w:szCs w:val="48"/>
    </w:rPr>
  </w:style>
  <w:style w:type="paragraph" w:styleId="863">
    <w:name w:val="Subtitle"/>
    <w:basedOn w:val="1017"/>
    <w:next w:val="1017"/>
    <w:link w:val="864"/>
    <w:uiPriority w:val="11"/>
    <w:qFormat/>
    <w:pPr>
      <w:spacing w:before="200" w:after="200"/>
    </w:pPr>
    <w:rPr>
      <w:sz w:val="24"/>
      <w:szCs w:val="24"/>
    </w:rPr>
  </w:style>
  <w:style w:type="character" w:styleId="864">
    <w:name w:val="Subtitle Char"/>
    <w:link w:val="863"/>
    <w:uiPriority w:val="11"/>
    <w:rPr>
      <w:sz w:val="24"/>
      <w:szCs w:val="24"/>
    </w:rPr>
  </w:style>
  <w:style w:type="paragraph" w:styleId="865">
    <w:name w:val="Quote"/>
    <w:basedOn w:val="1017"/>
    <w:next w:val="1017"/>
    <w:link w:val="866"/>
    <w:uiPriority w:val="29"/>
    <w:qFormat/>
    <w:pPr>
      <w:ind w:left="720" w:right="720"/>
    </w:pPr>
    <w:rPr>
      <w:i/>
    </w:rPr>
  </w:style>
  <w:style w:type="character" w:styleId="866">
    <w:name w:val="Quote Char"/>
    <w:link w:val="865"/>
    <w:uiPriority w:val="29"/>
    <w:rPr>
      <w:i/>
    </w:rPr>
  </w:style>
  <w:style w:type="paragraph" w:styleId="867">
    <w:name w:val="Intense Quote"/>
    <w:basedOn w:val="1017"/>
    <w:next w:val="1017"/>
    <w:link w:val="8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8">
    <w:name w:val="Intense Quote Char"/>
    <w:link w:val="867"/>
    <w:uiPriority w:val="30"/>
    <w:rPr>
      <w:i/>
    </w:rPr>
  </w:style>
  <w:style w:type="character" w:styleId="869">
    <w:name w:val="Header Char"/>
    <w:link w:val="1090"/>
    <w:uiPriority w:val="99"/>
  </w:style>
  <w:style w:type="paragraph" w:styleId="870">
    <w:name w:val="Footer"/>
    <w:basedOn w:val="1017"/>
    <w:link w:val="8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1">
    <w:name w:val="Footer Char"/>
    <w:link w:val="870"/>
    <w:uiPriority w:val="99"/>
  </w:style>
  <w:style w:type="character" w:styleId="872">
    <w:name w:val="Caption Char"/>
    <w:basedOn w:val="1095"/>
    <w:link w:val="870"/>
    <w:uiPriority w:val="99"/>
  </w:style>
  <w:style w:type="table" w:styleId="87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1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7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7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7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7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99">
    <w:name w:val="Hyperlink"/>
    <w:uiPriority w:val="99"/>
    <w:unhideWhenUsed/>
    <w:rPr>
      <w:color w:val="0000ff" w:themeColor="hyperlink"/>
      <w:u w:val="single"/>
    </w:rPr>
  </w:style>
  <w:style w:type="paragraph" w:styleId="1000">
    <w:name w:val="footnote text"/>
    <w:basedOn w:val="1017"/>
    <w:link w:val="1001"/>
    <w:uiPriority w:val="99"/>
    <w:semiHidden/>
    <w:unhideWhenUsed/>
    <w:pPr>
      <w:spacing w:after="40" w:line="240" w:lineRule="auto"/>
    </w:pPr>
    <w:rPr>
      <w:sz w:val="18"/>
    </w:rPr>
  </w:style>
  <w:style w:type="character" w:styleId="1001">
    <w:name w:val="Footnote Text Char"/>
    <w:link w:val="1000"/>
    <w:uiPriority w:val="99"/>
    <w:rPr>
      <w:sz w:val="18"/>
    </w:rPr>
  </w:style>
  <w:style w:type="character" w:styleId="1002">
    <w:name w:val="footnote reference"/>
    <w:uiPriority w:val="99"/>
    <w:unhideWhenUsed/>
    <w:rPr>
      <w:vertAlign w:val="superscript"/>
    </w:rPr>
  </w:style>
  <w:style w:type="paragraph" w:styleId="1003">
    <w:name w:val="endnote text"/>
    <w:basedOn w:val="1017"/>
    <w:link w:val="1004"/>
    <w:uiPriority w:val="99"/>
    <w:semiHidden/>
    <w:unhideWhenUsed/>
    <w:pPr>
      <w:spacing w:after="0" w:line="240" w:lineRule="auto"/>
    </w:pPr>
    <w:rPr>
      <w:sz w:val="20"/>
    </w:rPr>
  </w:style>
  <w:style w:type="character" w:styleId="1004">
    <w:name w:val="Endnote Text Char"/>
    <w:link w:val="1003"/>
    <w:uiPriority w:val="99"/>
    <w:rPr>
      <w:sz w:val="20"/>
    </w:rPr>
  </w:style>
  <w:style w:type="character" w:styleId="1005">
    <w:name w:val="endnote reference"/>
    <w:uiPriority w:val="99"/>
    <w:semiHidden/>
    <w:unhideWhenUsed/>
    <w:rPr>
      <w:vertAlign w:val="superscript"/>
    </w:rPr>
  </w:style>
  <w:style w:type="paragraph" w:styleId="1006">
    <w:name w:val="toc 1"/>
    <w:basedOn w:val="1017"/>
    <w:next w:val="1017"/>
    <w:uiPriority w:val="39"/>
    <w:unhideWhenUsed/>
    <w:pPr>
      <w:ind w:left="0" w:right="0" w:firstLine="0"/>
      <w:spacing w:after="57"/>
    </w:pPr>
  </w:style>
  <w:style w:type="paragraph" w:styleId="1007">
    <w:name w:val="toc 2"/>
    <w:basedOn w:val="1017"/>
    <w:next w:val="1017"/>
    <w:uiPriority w:val="39"/>
    <w:unhideWhenUsed/>
    <w:pPr>
      <w:ind w:left="283" w:right="0" w:firstLine="0"/>
      <w:spacing w:after="57"/>
    </w:pPr>
  </w:style>
  <w:style w:type="paragraph" w:styleId="1008">
    <w:name w:val="toc 3"/>
    <w:basedOn w:val="1017"/>
    <w:next w:val="1017"/>
    <w:uiPriority w:val="39"/>
    <w:unhideWhenUsed/>
    <w:pPr>
      <w:ind w:left="567" w:right="0" w:firstLine="0"/>
      <w:spacing w:after="57"/>
    </w:pPr>
  </w:style>
  <w:style w:type="paragraph" w:styleId="1009">
    <w:name w:val="toc 4"/>
    <w:basedOn w:val="1017"/>
    <w:next w:val="1017"/>
    <w:uiPriority w:val="39"/>
    <w:unhideWhenUsed/>
    <w:pPr>
      <w:ind w:left="850" w:right="0" w:firstLine="0"/>
      <w:spacing w:after="57"/>
    </w:pPr>
  </w:style>
  <w:style w:type="paragraph" w:styleId="1010">
    <w:name w:val="toc 5"/>
    <w:basedOn w:val="1017"/>
    <w:next w:val="1017"/>
    <w:uiPriority w:val="39"/>
    <w:unhideWhenUsed/>
    <w:pPr>
      <w:ind w:left="1134" w:right="0" w:firstLine="0"/>
      <w:spacing w:after="57"/>
    </w:pPr>
  </w:style>
  <w:style w:type="paragraph" w:styleId="1011">
    <w:name w:val="toc 6"/>
    <w:basedOn w:val="1017"/>
    <w:next w:val="1017"/>
    <w:uiPriority w:val="39"/>
    <w:unhideWhenUsed/>
    <w:pPr>
      <w:ind w:left="1417" w:right="0" w:firstLine="0"/>
      <w:spacing w:after="57"/>
    </w:pPr>
  </w:style>
  <w:style w:type="paragraph" w:styleId="1012">
    <w:name w:val="toc 7"/>
    <w:basedOn w:val="1017"/>
    <w:next w:val="1017"/>
    <w:uiPriority w:val="39"/>
    <w:unhideWhenUsed/>
    <w:pPr>
      <w:ind w:left="1701" w:right="0" w:firstLine="0"/>
      <w:spacing w:after="57"/>
    </w:pPr>
  </w:style>
  <w:style w:type="paragraph" w:styleId="1013">
    <w:name w:val="toc 8"/>
    <w:basedOn w:val="1017"/>
    <w:next w:val="1017"/>
    <w:uiPriority w:val="39"/>
    <w:unhideWhenUsed/>
    <w:pPr>
      <w:ind w:left="1984" w:right="0" w:firstLine="0"/>
      <w:spacing w:after="57"/>
    </w:pPr>
  </w:style>
  <w:style w:type="paragraph" w:styleId="1014">
    <w:name w:val="toc 9"/>
    <w:basedOn w:val="1017"/>
    <w:next w:val="1017"/>
    <w:uiPriority w:val="39"/>
    <w:unhideWhenUsed/>
    <w:pPr>
      <w:ind w:left="2268" w:right="0" w:firstLine="0"/>
      <w:spacing w:after="57"/>
    </w:pPr>
  </w:style>
  <w:style w:type="paragraph" w:styleId="1015">
    <w:name w:val="TOC Heading"/>
    <w:uiPriority w:val="39"/>
    <w:unhideWhenUsed/>
  </w:style>
  <w:style w:type="paragraph" w:styleId="1016">
    <w:name w:val="table of figures"/>
    <w:basedOn w:val="1017"/>
    <w:next w:val="1017"/>
    <w:uiPriority w:val="99"/>
    <w:unhideWhenUsed/>
    <w:pPr>
      <w:spacing w:after="0" w:afterAutospacing="0"/>
    </w:pPr>
  </w:style>
  <w:style w:type="paragraph" w:styleId="1017" w:default="1">
    <w:name w:val="Normal"/>
    <w:next w:val="1017"/>
    <w:link w:val="1017"/>
    <w:qFormat/>
    <w:rPr>
      <w:lang w:val="ru-RU" w:eastAsia="ar-SA" w:bidi="ar-SA"/>
    </w:rPr>
  </w:style>
  <w:style w:type="paragraph" w:styleId="1018">
    <w:name w:val="Заголовок 1"/>
    <w:basedOn w:val="1017"/>
    <w:next w:val="1017"/>
    <w:link w:val="1085"/>
    <w:uiPriority w:val="9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1019">
    <w:name w:val="Заголовок 2"/>
    <w:basedOn w:val="1017"/>
    <w:next w:val="1019"/>
    <w:link w:val="1083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1020">
    <w:name w:val="Заголовок 3"/>
    <w:basedOn w:val="1017"/>
    <w:next w:val="1017"/>
    <w:link w:val="1088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1021">
    <w:name w:val="Заголовок 4"/>
    <w:basedOn w:val="1017"/>
    <w:next w:val="1017"/>
    <w:link w:val="1087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1022">
    <w:name w:val="Основной шрифт абзаца"/>
    <w:next w:val="1022"/>
    <w:link w:val="1017"/>
    <w:semiHidden/>
  </w:style>
  <w:style w:type="table" w:styleId="1023">
    <w:name w:val="Обычная таблица"/>
    <w:next w:val="1023"/>
    <w:link w:val="1017"/>
    <w:uiPriority w:val="99"/>
    <w:semiHidden/>
    <w:unhideWhenUsed/>
    <w:tblPr/>
  </w:style>
  <w:style w:type="numbering" w:styleId="1024">
    <w:name w:val="Нет списка"/>
    <w:next w:val="1024"/>
    <w:link w:val="1017"/>
    <w:uiPriority w:val="99"/>
    <w:semiHidden/>
    <w:unhideWhenUsed/>
  </w:style>
  <w:style w:type="character" w:styleId="1025">
    <w:name w:val="Основной шрифт абзаца6"/>
    <w:next w:val="1025"/>
    <w:link w:val="1017"/>
  </w:style>
  <w:style w:type="character" w:styleId="1026">
    <w:name w:val="Основной шрифт абзаца5"/>
    <w:next w:val="1026"/>
    <w:link w:val="1017"/>
  </w:style>
  <w:style w:type="character" w:styleId="1027">
    <w:name w:val="Основной шрифт абзаца4"/>
    <w:next w:val="1027"/>
    <w:link w:val="1017"/>
  </w:style>
  <w:style w:type="character" w:styleId="1028">
    <w:name w:val="Absatz-Standardschriftart"/>
    <w:next w:val="1028"/>
    <w:link w:val="1017"/>
  </w:style>
  <w:style w:type="character" w:styleId="1029">
    <w:name w:val="WW-Absatz-Standardschriftart"/>
    <w:next w:val="1029"/>
    <w:link w:val="1017"/>
  </w:style>
  <w:style w:type="character" w:styleId="1030">
    <w:name w:val="Основной шрифт абзаца3"/>
    <w:next w:val="1030"/>
    <w:link w:val="1017"/>
  </w:style>
  <w:style w:type="character" w:styleId="1031">
    <w:name w:val="WW-Absatz-Standardschriftart1"/>
    <w:next w:val="1031"/>
    <w:link w:val="1017"/>
  </w:style>
  <w:style w:type="character" w:styleId="1032">
    <w:name w:val="Основной шрифт абзаца2"/>
    <w:next w:val="1032"/>
    <w:link w:val="1017"/>
  </w:style>
  <w:style w:type="character" w:styleId="1033">
    <w:name w:val="WW-Absatz-Standardschriftart11"/>
    <w:next w:val="1033"/>
    <w:link w:val="1017"/>
  </w:style>
  <w:style w:type="character" w:styleId="1034">
    <w:name w:val="Основной шрифт абзаца1"/>
    <w:next w:val="1034"/>
    <w:link w:val="1017"/>
  </w:style>
  <w:style w:type="character" w:styleId="1035">
    <w:name w:val="Îñíîâíîé øðèôò"/>
    <w:next w:val="1035"/>
    <w:link w:val="1017"/>
  </w:style>
  <w:style w:type="character" w:styleId="1036">
    <w:name w:val="Гиперссылка"/>
    <w:next w:val="1036"/>
    <w:link w:val="1017"/>
    <w:uiPriority w:val="99"/>
    <w:semiHidden/>
    <w:rPr>
      <w:color w:val="0000ff"/>
      <w:u w:val="single"/>
    </w:rPr>
  </w:style>
  <w:style w:type="character" w:styleId="1037">
    <w:name w:val="Просмотренная гиперссылка"/>
    <w:next w:val="1037"/>
    <w:link w:val="1017"/>
    <w:semiHidden/>
    <w:rPr>
      <w:color w:val="800080"/>
      <w:u w:val="single"/>
    </w:rPr>
  </w:style>
  <w:style w:type="paragraph" w:styleId="1038">
    <w:name w:val="Заголовок"/>
    <w:basedOn w:val="1017"/>
    <w:next w:val="1039"/>
    <w:link w:val="1017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1039">
    <w:name w:val="Основной текст"/>
    <w:basedOn w:val="1017"/>
    <w:next w:val="1039"/>
    <w:link w:val="1017"/>
    <w:semiHidden/>
    <w:rPr>
      <w:sz w:val="28"/>
    </w:rPr>
  </w:style>
  <w:style w:type="paragraph" w:styleId="1040">
    <w:name w:val="Список"/>
    <w:basedOn w:val="1039"/>
    <w:next w:val="1040"/>
    <w:link w:val="1017"/>
    <w:semiHidden/>
    <w:rPr>
      <w:rFonts w:ascii="Arial" w:hAnsi="Arial" w:cs="Tahoma"/>
    </w:rPr>
  </w:style>
  <w:style w:type="paragraph" w:styleId="1041">
    <w:name w:val="Название6"/>
    <w:basedOn w:val="1017"/>
    <w:next w:val="1041"/>
    <w:link w:val="101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42">
    <w:name w:val="Указатель6"/>
    <w:basedOn w:val="1017"/>
    <w:next w:val="1042"/>
    <w:link w:val="1017"/>
    <w:pPr>
      <w:suppressLineNumbers/>
    </w:pPr>
    <w:rPr>
      <w:rFonts w:ascii="Arial" w:hAnsi="Arial" w:cs="Tahoma"/>
    </w:rPr>
  </w:style>
  <w:style w:type="paragraph" w:styleId="1043">
    <w:name w:val="Название5"/>
    <w:basedOn w:val="1017"/>
    <w:next w:val="1043"/>
    <w:link w:val="101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44">
    <w:name w:val="Указатель5"/>
    <w:basedOn w:val="1017"/>
    <w:next w:val="1044"/>
    <w:link w:val="1017"/>
    <w:pPr>
      <w:suppressLineNumbers/>
    </w:pPr>
    <w:rPr>
      <w:rFonts w:ascii="Arial" w:hAnsi="Arial" w:cs="Tahoma"/>
    </w:rPr>
  </w:style>
  <w:style w:type="paragraph" w:styleId="1045">
    <w:name w:val="Название4"/>
    <w:basedOn w:val="1017"/>
    <w:next w:val="1045"/>
    <w:link w:val="101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46">
    <w:name w:val="Указатель4"/>
    <w:basedOn w:val="1017"/>
    <w:next w:val="1046"/>
    <w:link w:val="1017"/>
    <w:pPr>
      <w:suppressLineNumbers/>
    </w:pPr>
    <w:rPr>
      <w:rFonts w:ascii="Arial" w:hAnsi="Arial" w:cs="Tahoma"/>
    </w:rPr>
  </w:style>
  <w:style w:type="paragraph" w:styleId="1047">
    <w:name w:val="Название3"/>
    <w:basedOn w:val="1017"/>
    <w:next w:val="1047"/>
    <w:link w:val="101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48">
    <w:name w:val="Указатель3"/>
    <w:basedOn w:val="1017"/>
    <w:next w:val="1048"/>
    <w:link w:val="1017"/>
    <w:pPr>
      <w:suppressLineNumbers/>
    </w:pPr>
    <w:rPr>
      <w:rFonts w:ascii="Arial" w:hAnsi="Arial" w:cs="Tahoma"/>
    </w:rPr>
  </w:style>
  <w:style w:type="paragraph" w:styleId="1049">
    <w:name w:val="Название2"/>
    <w:basedOn w:val="1017"/>
    <w:next w:val="1049"/>
    <w:link w:val="101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50">
    <w:name w:val="Указатель2"/>
    <w:basedOn w:val="1017"/>
    <w:next w:val="1050"/>
    <w:link w:val="1017"/>
    <w:pPr>
      <w:suppressLineNumbers/>
    </w:pPr>
    <w:rPr>
      <w:rFonts w:ascii="Arial" w:hAnsi="Arial" w:cs="Tahoma"/>
    </w:rPr>
  </w:style>
  <w:style w:type="paragraph" w:styleId="1051">
    <w:name w:val="Название1"/>
    <w:basedOn w:val="1017"/>
    <w:next w:val="1051"/>
    <w:link w:val="101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52">
    <w:name w:val="Указатель1"/>
    <w:basedOn w:val="1017"/>
    <w:next w:val="1052"/>
    <w:link w:val="1017"/>
    <w:pPr>
      <w:suppressLineNumbers/>
    </w:pPr>
    <w:rPr>
      <w:rFonts w:ascii="Arial" w:hAnsi="Arial" w:cs="Tahoma"/>
    </w:rPr>
  </w:style>
  <w:style w:type="paragraph" w:styleId="1053">
    <w:name w:val="Верхний колонтитул"/>
    <w:basedOn w:val="1017"/>
    <w:next w:val="1053"/>
    <w:link w:val="1060"/>
    <w:pPr>
      <w:tabs>
        <w:tab w:val="center" w:pos="4153" w:leader="none"/>
        <w:tab w:val="right" w:pos="8306" w:leader="none"/>
      </w:tabs>
    </w:pPr>
    <w:rPr>
      <w:lang w:val="en-US"/>
    </w:rPr>
  </w:style>
  <w:style w:type="paragraph" w:styleId="1054">
    <w:name w:val="Нижний колонтитул"/>
    <w:basedOn w:val="1017"/>
    <w:next w:val="1054"/>
    <w:link w:val="1061"/>
    <w:pPr>
      <w:tabs>
        <w:tab w:val="center" w:pos="4153" w:leader="none"/>
        <w:tab w:val="right" w:pos="8306" w:leader="none"/>
      </w:tabs>
    </w:pPr>
    <w:rPr>
      <w:lang w:val="en-US"/>
    </w:rPr>
  </w:style>
  <w:style w:type="paragraph" w:styleId="1055">
    <w:name w:val="Текст выноски"/>
    <w:basedOn w:val="1017"/>
    <w:next w:val="1055"/>
    <w:link w:val="1017"/>
    <w:rPr>
      <w:rFonts w:ascii="Tahoma" w:hAnsi="Tahoma" w:cs="Tahoma"/>
      <w:sz w:val="16"/>
      <w:szCs w:val="16"/>
    </w:rPr>
  </w:style>
  <w:style w:type="paragraph" w:styleId="1056">
    <w:name w:val="Содержимое таблицы"/>
    <w:basedOn w:val="1017"/>
    <w:next w:val="1056"/>
    <w:link w:val="1017"/>
    <w:pPr>
      <w:suppressLineNumbers/>
    </w:pPr>
  </w:style>
  <w:style w:type="paragraph" w:styleId="1057">
    <w:name w:val="Заголовок таблицы"/>
    <w:basedOn w:val="1056"/>
    <w:next w:val="1057"/>
    <w:link w:val="1017"/>
    <w:pPr>
      <w:jc w:val="center"/>
      <w:suppressLineNumbers/>
    </w:pPr>
    <w:rPr>
      <w:b/>
      <w:bCs/>
    </w:rPr>
  </w:style>
  <w:style w:type="paragraph" w:styleId="1058">
    <w:name w:val="Содержимое врезки"/>
    <w:basedOn w:val="1039"/>
    <w:next w:val="1058"/>
    <w:link w:val="1017"/>
  </w:style>
  <w:style w:type="table" w:styleId="1059">
    <w:name w:val="Сетка таблицы"/>
    <w:basedOn w:val="1023"/>
    <w:next w:val="1059"/>
    <w:link w:val="1017"/>
    <w:tblPr/>
  </w:style>
  <w:style w:type="character" w:styleId="1060">
    <w:name w:val="Верхний колонтитул Знак"/>
    <w:next w:val="1060"/>
    <w:link w:val="1053"/>
    <w:rPr>
      <w:lang w:eastAsia="ar-SA"/>
    </w:rPr>
  </w:style>
  <w:style w:type="character" w:styleId="1061">
    <w:name w:val="Нижний колонтитул Знак"/>
    <w:next w:val="1061"/>
    <w:link w:val="1054"/>
    <w:rPr>
      <w:lang w:eastAsia="ar-SA"/>
    </w:rPr>
  </w:style>
  <w:style w:type="character" w:styleId="1062">
    <w:name w:val="Номер страницы"/>
    <w:basedOn w:val="1022"/>
    <w:next w:val="1062"/>
    <w:link w:val="1017"/>
  </w:style>
  <w:style w:type="character" w:styleId="1063">
    <w:name w:val="Основной текст + 16,5 pt2,Курсив1,Основной текст + 10"/>
    <w:next w:val="1063"/>
    <w:link w:val="1017"/>
    <w:rPr>
      <w:rFonts w:ascii="Times New Roman" w:hAnsi="Times New Roman" w:cs="Times New Roman"/>
      <w:i/>
      <w:iCs/>
      <w:sz w:val="33"/>
      <w:szCs w:val="33"/>
      <w:u w:val="single"/>
      <w:lang w:bidi="ar-SA"/>
    </w:rPr>
  </w:style>
  <w:style w:type="character" w:styleId="1064">
    <w:name w:val="Основной текст (3)_"/>
    <w:next w:val="1064"/>
    <w:link w:val="1065"/>
    <w:rPr>
      <w:sz w:val="22"/>
      <w:szCs w:val="22"/>
      <w:shd w:val="clear" w:color="auto" w:fill="ffffff"/>
    </w:rPr>
  </w:style>
  <w:style w:type="paragraph" w:styleId="1065">
    <w:name w:val="Основной текст (3)"/>
    <w:basedOn w:val="1017"/>
    <w:next w:val="1065"/>
    <w:link w:val="1064"/>
    <w:pPr>
      <w:spacing w:before="960" w:after="960" w:line="274" w:lineRule="exact"/>
      <w:shd w:val="clear" w:color="auto" w:fill="ffffff"/>
      <w:widowControl w:val="off"/>
    </w:pPr>
    <w:rPr>
      <w:sz w:val="22"/>
      <w:szCs w:val="22"/>
      <w:lang w:val="en-US" w:eastAsia="en-US"/>
    </w:rPr>
  </w:style>
  <w:style w:type="paragraph" w:styleId="1066">
    <w:name w:val="Без интервала"/>
    <w:next w:val="1066"/>
    <w:link w:val="1017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1067">
    <w:name w:val="Font Style13"/>
    <w:next w:val="1067"/>
    <w:link w:val="1017"/>
    <w:rPr>
      <w:rFonts w:ascii="Times New Roman" w:hAnsi="Times New Roman" w:cs="Times New Roman"/>
      <w:sz w:val="26"/>
      <w:szCs w:val="26"/>
    </w:rPr>
  </w:style>
  <w:style w:type="paragraph" w:styleId="1068">
    <w:name w:val="Обычный (веб)"/>
    <w:basedOn w:val="1017"/>
    <w:next w:val="1068"/>
    <w:link w:val="1017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69">
    <w:name w:val="apple-converted-space"/>
    <w:next w:val="1069"/>
    <w:link w:val="1017"/>
  </w:style>
  <w:style w:type="character" w:styleId="1070">
    <w:name w:val="Font Style18"/>
    <w:next w:val="1070"/>
    <w:link w:val="1017"/>
    <w:uiPriority w:val="99"/>
    <w:rPr>
      <w:rFonts w:ascii="Times New Roman" w:hAnsi="Times New Roman" w:cs="Times New Roman"/>
      <w:sz w:val="26"/>
      <w:szCs w:val="26"/>
    </w:rPr>
  </w:style>
  <w:style w:type="paragraph" w:styleId="1071">
    <w:name w:val="Основной текст с отступом"/>
    <w:basedOn w:val="1017"/>
    <w:next w:val="1071"/>
    <w:link w:val="1072"/>
    <w:uiPriority w:val="99"/>
    <w:unhideWhenUsed/>
    <w:pPr>
      <w:ind w:firstLine="709"/>
      <w:jc w:val="both"/>
    </w:pPr>
    <w:rPr>
      <w:color w:val="000000"/>
      <w:sz w:val="28"/>
      <w:szCs w:val="28"/>
      <w:lang w:val="en-US"/>
    </w:rPr>
  </w:style>
  <w:style w:type="character" w:styleId="1072">
    <w:name w:val="Основной текст с отступом Знак"/>
    <w:next w:val="1072"/>
    <w:link w:val="1071"/>
    <w:uiPriority w:val="99"/>
    <w:rPr>
      <w:color w:val="000000"/>
      <w:sz w:val="28"/>
      <w:szCs w:val="28"/>
      <w:lang w:eastAsia="ar-SA"/>
    </w:rPr>
  </w:style>
  <w:style w:type="paragraph" w:styleId="1073">
    <w:name w:val="ConsPlusNormal"/>
    <w:next w:val="1073"/>
    <w:link w:val="107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1074">
    <w:name w:val="ConsPlusNormal Знак"/>
    <w:next w:val="1074"/>
    <w:link w:val="1073"/>
    <w:rPr>
      <w:rFonts w:ascii="Arial" w:hAnsi="Arial" w:cs="Arial"/>
      <w:lang w:val="ru-RU" w:eastAsia="ru-RU" w:bidi="ar-SA"/>
    </w:rPr>
  </w:style>
  <w:style w:type="paragraph" w:styleId="1075">
    <w:name w:val="Основной текст с отступом 2"/>
    <w:basedOn w:val="1017"/>
    <w:next w:val="1075"/>
    <w:link w:val="1076"/>
    <w:uiPriority w:val="99"/>
    <w:unhideWhenUsed/>
    <w:pPr>
      <w:ind w:firstLine="709"/>
      <w:jc w:val="both"/>
    </w:pPr>
    <w:rPr>
      <w:color w:val="000000"/>
      <w:sz w:val="26"/>
      <w:szCs w:val="26"/>
      <w:lang w:val="en-US"/>
    </w:rPr>
  </w:style>
  <w:style w:type="character" w:styleId="1076">
    <w:name w:val="Основной текст с отступом 2 Знак"/>
    <w:next w:val="1076"/>
    <w:link w:val="1075"/>
    <w:uiPriority w:val="99"/>
    <w:rPr>
      <w:color w:val="000000"/>
      <w:sz w:val="26"/>
      <w:szCs w:val="26"/>
      <w:lang w:eastAsia="ar-SA"/>
    </w:rPr>
  </w:style>
  <w:style w:type="character" w:styleId="1077">
    <w:name w:val="Знак примечания"/>
    <w:next w:val="1077"/>
    <w:link w:val="1017"/>
    <w:uiPriority w:val="99"/>
    <w:semiHidden/>
    <w:unhideWhenUsed/>
    <w:rPr>
      <w:sz w:val="16"/>
      <w:szCs w:val="16"/>
    </w:rPr>
  </w:style>
  <w:style w:type="paragraph" w:styleId="1078">
    <w:name w:val="Текст примечания"/>
    <w:basedOn w:val="1017"/>
    <w:next w:val="1078"/>
    <w:link w:val="1079"/>
    <w:uiPriority w:val="99"/>
    <w:semiHidden/>
    <w:unhideWhenUsed/>
  </w:style>
  <w:style w:type="character" w:styleId="1079">
    <w:name w:val="Текст примечания Знак"/>
    <w:next w:val="1079"/>
    <w:link w:val="1078"/>
    <w:uiPriority w:val="99"/>
    <w:semiHidden/>
    <w:rPr>
      <w:lang w:eastAsia="ar-SA"/>
    </w:rPr>
  </w:style>
  <w:style w:type="paragraph" w:styleId="1080">
    <w:name w:val="Тема примечания"/>
    <w:basedOn w:val="1078"/>
    <w:next w:val="1078"/>
    <w:link w:val="1081"/>
    <w:uiPriority w:val="99"/>
    <w:semiHidden/>
    <w:unhideWhenUsed/>
    <w:rPr>
      <w:b/>
      <w:bCs/>
    </w:rPr>
  </w:style>
  <w:style w:type="character" w:styleId="1081">
    <w:name w:val="Тема примечания Знак"/>
    <w:next w:val="1081"/>
    <w:link w:val="1080"/>
    <w:uiPriority w:val="99"/>
    <w:semiHidden/>
    <w:rPr>
      <w:b/>
      <w:bCs/>
      <w:lang w:eastAsia="ar-SA"/>
    </w:rPr>
  </w:style>
  <w:style w:type="character" w:styleId="1082">
    <w:name w:val="Строгий"/>
    <w:next w:val="1082"/>
    <w:link w:val="1017"/>
    <w:uiPriority w:val="22"/>
    <w:qFormat/>
    <w:rPr>
      <w:b/>
      <w:bCs/>
    </w:rPr>
  </w:style>
  <w:style w:type="character" w:styleId="1083">
    <w:name w:val="Заголовок 2 Знак"/>
    <w:next w:val="1083"/>
    <w:link w:val="1019"/>
    <w:uiPriority w:val="9"/>
    <w:rPr>
      <w:b/>
      <w:bCs/>
      <w:sz w:val="36"/>
      <w:szCs w:val="36"/>
    </w:rPr>
  </w:style>
  <w:style w:type="paragraph" w:styleId="1084">
    <w:name w:val="paragraph"/>
    <w:basedOn w:val="1017"/>
    <w:next w:val="1084"/>
    <w:link w:val="101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85">
    <w:name w:val="Заголовок 1 Знак"/>
    <w:next w:val="1085"/>
    <w:link w:val="1018"/>
    <w:uiPriority w:val="9"/>
    <w:rPr>
      <w:rFonts w:ascii="Calibri Light" w:hAnsi="Calibri Light" w:eastAsia="Times New Roman" w:cs="Times New Roman"/>
      <w:b/>
      <w:bCs/>
      <w:sz w:val="32"/>
      <w:szCs w:val="32"/>
      <w:lang w:eastAsia="ar-SA"/>
    </w:rPr>
  </w:style>
  <w:style w:type="paragraph" w:styleId="1086">
    <w:name w:val="b-article__text"/>
    <w:basedOn w:val="1017"/>
    <w:next w:val="1086"/>
    <w:link w:val="101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87">
    <w:name w:val="Заголовок 4 Знак"/>
    <w:next w:val="1087"/>
    <w:link w:val="1021"/>
    <w:uiPriority w:val="9"/>
    <w:semiHidden/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character" w:styleId="1088">
    <w:name w:val="Заголовок 3 Знак"/>
    <w:next w:val="1088"/>
    <w:link w:val="1020"/>
    <w:uiPriority w:val="9"/>
    <w:semiHidden/>
    <w:rPr>
      <w:rFonts w:ascii="Cambria" w:hAnsi="Cambria" w:eastAsia="Times New Roman" w:cs="Times New Roman"/>
      <w:b/>
      <w:bCs/>
      <w:sz w:val="26"/>
      <w:szCs w:val="26"/>
      <w:lang w:eastAsia="ar-SA"/>
    </w:rPr>
  </w:style>
  <w:style w:type="paragraph" w:styleId="1089">
    <w:name w:val="Абзац списка"/>
    <w:basedOn w:val="1017"/>
    <w:next w:val="1089"/>
    <w:link w:val="1017"/>
    <w:uiPriority w:val="34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90">
    <w:name w:val="Header"/>
    <w:next w:val="1090"/>
    <w:link w:val="1017"/>
  </w:style>
  <w:style w:type="character" w:styleId="1091">
    <w:name w:val="Title"/>
    <w:next w:val="1091"/>
    <w:link w:val="1017"/>
  </w:style>
  <w:style w:type="character" w:styleId="1092">
    <w:name w:val="dashed"/>
    <w:next w:val="1092"/>
    <w:link w:val="1017"/>
  </w:style>
  <w:style w:type="character" w:styleId="1093">
    <w:name w:val="buttons"/>
    <w:next w:val="1093"/>
    <w:link w:val="1017"/>
  </w:style>
  <w:style w:type="paragraph" w:styleId="1094">
    <w:name w:val="float"/>
    <w:basedOn w:val="1017"/>
    <w:next w:val="1094"/>
    <w:link w:val="101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95">
    <w:name w:val="Caption"/>
    <w:next w:val="1095"/>
    <w:link w:val="1017"/>
  </w:style>
  <w:style w:type="character" w:styleId="1096">
    <w:name w:val="time"/>
    <w:next w:val="1096"/>
    <w:link w:val="1017"/>
  </w:style>
  <w:style w:type="character" w:styleId="1097">
    <w:name w:val="i18n"/>
    <w:next w:val="1097"/>
    <w:link w:val="1017"/>
  </w:style>
  <w:style w:type="paragraph" w:styleId="1098">
    <w:name w:val="z-Начало формы"/>
    <w:basedOn w:val="1017"/>
    <w:next w:val="1017"/>
    <w:link w:val="1099"/>
    <w:hidden/>
    <w:uiPriority w:val="99"/>
    <w:semiHidden/>
    <w:unhideWhenUsed/>
    <w:pPr>
      <w:jc w:val="center"/>
      <w:pBdr>
        <w:bottom w:val="single" w:color="000000" w:sz="6" w:space="1"/>
      </w:pBdr>
    </w:pPr>
    <w:rPr>
      <w:rFonts w:ascii="Arial" w:hAnsi="Arial" w:cs="Arial"/>
      <w:vanish/>
      <w:sz w:val="16"/>
      <w:szCs w:val="16"/>
      <w:lang w:eastAsia="ru-RU"/>
    </w:rPr>
  </w:style>
  <w:style w:type="character" w:styleId="1099">
    <w:name w:val="z-Начало формы Знак"/>
    <w:next w:val="1099"/>
    <w:link w:val="1098"/>
    <w:uiPriority w:val="99"/>
    <w:semiHidden/>
    <w:rPr>
      <w:rFonts w:ascii="Arial" w:hAnsi="Arial" w:cs="Arial"/>
      <w:vanish/>
      <w:sz w:val="16"/>
      <w:szCs w:val="16"/>
    </w:rPr>
  </w:style>
  <w:style w:type="paragraph" w:styleId="1100">
    <w:name w:val="z-Конец формы"/>
    <w:basedOn w:val="1017"/>
    <w:next w:val="1017"/>
    <w:link w:val="1101"/>
    <w:hidden/>
    <w:uiPriority w:val="99"/>
    <w:semiHidden/>
    <w:unhideWhenUsed/>
    <w:pPr>
      <w:jc w:val="center"/>
      <w:pBdr>
        <w:top w:val="single" w:color="000000" w:sz="6" w:space="1"/>
      </w:pBdr>
    </w:pPr>
    <w:rPr>
      <w:rFonts w:ascii="Arial" w:hAnsi="Arial" w:cs="Arial"/>
      <w:vanish/>
      <w:sz w:val="16"/>
      <w:szCs w:val="16"/>
      <w:lang w:eastAsia="ru-RU"/>
    </w:rPr>
  </w:style>
  <w:style w:type="character" w:styleId="1101">
    <w:name w:val="z-Конец формы Знак"/>
    <w:next w:val="1101"/>
    <w:link w:val="1100"/>
    <w:uiPriority w:val="99"/>
    <w:semiHidden/>
    <w:rPr>
      <w:rFonts w:ascii="Arial" w:hAnsi="Arial" w:cs="Arial"/>
      <w:vanish/>
      <w:sz w:val="16"/>
      <w:szCs w:val="16"/>
    </w:rPr>
  </w:style>
  <w:style w:type="character" w:styleId="1102">
    <w:name w:val="message-time"/>
    <w:next w:val="1102"/>
    <w:link w:val="1017"/>
  </w:style>
  <w:style w:type="character" w:styleId="1103" w:default="1">
    <w:name w:val="Default Paragraph Font"/>
    <w:uiPriority w:val="1"/>
    <w:semiHidden/>
    <w:unhideWhenUsed/>
  </w:style>
  <w:style w:type="numbering" w:styleId="1104" w:default="1">
    <w:name w:val="No List"/>
    <w:uiPriority w:val="99"/>
    <w:semiHidden/>
    <w:unhideWhenUsed/>
  </w:style>
  <w:style w:type="table" w:styleId="11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hyperlink" Target="https://orenburg-gaznef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Республикаысь</dc:title>
  <dc:creator>Рустем Каримов</dc:creator>
  <cp:revision>56</cp:revision>
  <dcterms:created xsi:type="dcterms:W3CDTF">2023-12-05T08:05:00Z</dcterms:created>
  <dcterms:modified xsi:type="dcterms:W3CDTF">2025-02-18T04:41:13Z</dcterms:modified>
  <cp:version>917504</cp:version>
</cp:coreProperties>
</file>